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6"/>
        <w:rPr>
          <w:rFonts w:hint="eastAsia"/>
        </w:rPr>
      </w:pPr>
      <w:r>
        <w:rPr>
          <w:rFonts w:hint="eastAsia"/>
        </w:rPr>
      </w:r>
      <w:r/>
    </w:p>
    <w:p>
      <w:pPr>
        <w:pStyle w:val="96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bCs w:val="0"/>
          <w:color w:val="auto"/>
          <w:sz w:val="28"/>
          <w:szCs w:val="28"/>
          <w:u w:val="none"/>
          <w:lang w:val="en-US" w:eastAsia="zh-CN"/>
        </w:rPr>
        <w:t xml:space="preserve">南京市人民中学学生活动实践中心信息化设备</w:t>
      </w:r>
      <w:r/>
    </w:p>
    <w:p>
      <w:pPr>
        <w:ind w:firstLine="1506"/>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项目编号：</w:t>
      </w:r>
      <w:r>
        <w:rPr>
          <w:rFonts w:hint="eastAsia" w:cs="Times New Roman"/>
          <w:b/>
          <w:bCs w:val="0"/>
          <w:color w:val="auto"/>
          <w:sz w:val="32"/>
          <w:szCs w:val="32"/>
          <w:u w:val="none"/>
          <w:lang w:eastAsia="zh-CN"/>
        </w:rPr>
        <w:t xml:space="preserve">JSZC-320100-JZCG-G2026-0238</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43"/>
        <w:rPr>
          <w:rFonts w:hint="eastAsia"/>
          <w:color w:val="auto"/>
        </w:rPr>
      </w:pPr>
      <w:r>
        <w:rPr>
          <w:rFonts w:hint="eastAsia"/>
          <w:color w:val="auto"/>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63"/>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2026年7月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投标邀请…………………………………… 3</w:t>
      </w:r>
      <w:r>
        <w:rPr>
          <w:color w:val="000000" w:themeColor="text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15</w:t>
      </w:r>
      <w:r>
        <w:rPr>
          <w:color w:val="000000" w:themeColor="text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19</w:t>
      </w:r>
      <w:r>
        <w:rPr>
          <w:color w:val="000000" w:themeColor="text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56</w:t>
      </w:r>
      <w:r>
        <w:rPr>
          <w:color w:val="000000" w:themeColor="text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themeColor="text1"/>
          <w:sz w:val="36"/>
          <w:szCs w:val="21"/>
        </w:rPr>
        <w:t xml:space="preserve">投标文件格式………………………………6</w:t>
      </w:r>
      <w:r>
        <w:rPr>
          <w:rFonts w:hint="eastAsia" w:ascii="黑体" w:hAnsi="宋体" w:eastAsia="黑体" w:cs="Times New Roman"/>
          <w:color w:val="000000"/>
          <w:sz w:val="36"/>
          <w:szCs w:val="21"/>
        </w:rPr>
        <w:t xml:space="preserve">1</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64" w:lineRule="auto"/>
        <w:widowControl w:val="off"/>
        <w:rPr>
          <w:rFonts w:hint="eastAsia" w:ascii="宋体" w:hAnsi="宋体" w:eastAsia="宋体" w:cs="Times New Roman"/>
          <w:b w:val="0"/>
          <w:bCs w:val="0"/>
          <w:color w:val="auto"/>
          <w:sz w:val="24"/>
          <w:szCs w:val="24"/>
          <w:lang w:eastAsia="zh-CN"/>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ascii="宋体" w:hAnsi="宋体" w:eastAsia="宋体" w:cs="Times New Roman"/>
          <w:b w:val="0"/>
          <w:bCs w:val="0"/>
          <w:color w:val="auto"/>
          <w:sz w:val="24"/>
          <w:szCs w:val="24"/>
          <w:lang w:eastAsia="zh-CN"/>
        </w:rPr>
        <w:t xml:space="preserve">受</w:t>
      </w:r>
      <w:r>
        <w:rPr>
          <w:rFonts w:hint="eastAsia" w:ascii="宋体" w:hAnsi="宋体" w:eastAsia="宋体" w:cs="Times New Roman"/>
          <w:b w:val="0"/>
          <w:bCs w:val="0"/>
          <w:color w:val="auto"/>
          <w:sz w:val="24"/>
          <w:szCs w:val="24"/>
          <w:lang w:val="en-US" w:eastAsia="zh-CN"/>
        </w:rPr>
        <w:t xml:space="preserve">南京市玄武区教育局</w:t>
      </w:r>
      <w:r>
        <w:rPr>
          <w:rFonts w:hint="eastAsia" w:ascii="宋体" w:hAnsi="宋体" w:eastAsia="宋体" w:cs="Times New Roman"/>
          <w:b w:val="0"/>
          <w:bCs w:val="0"/>
          <w:color w:val="auto"/>
          <w:sz w:val="24"/>
          <w:szCs w:val="24"/>
          <w:lang w:eastAsia="zh-CN"/>
        </w:rPr>
        <w:t xml:space="preserve">委托，南京市公共资源交易中心（</w:t>
      </w:r>
      <w:r>
        <w:rPr>
          <w:rFonts w:hint="eastAsia" w:ascii="宋体" w:hAnsi="宋体" w:eastAsia="宋体" w:cs="Times New Roman"/>
          <w:b w:val="0"/>
          <w:bCs w:val="0"/>
          <w:color w:val="auto"/>
          <w:sz w:val="24"/>
          <w:szCs w:val="24"/>
          <w:lang w:val="en-US" w:eastAsia="zh-CN"/>
        </w:rPr>
        <w:t xml:space="preserve">以下简称“交易中心”</w:t>
      </w:r>
      <w:r>
        <w:rPr>
          <w:rFonts w:hint="eastAsia" w:ascii="宋体" w:hAnsi="宋体" w:eastAsia="宋体" w:cs="Times New Roman"/>
          <w:b w:val="0"/>
          <w:bCs w:val="0"/>
          <w:color w:val="auto"/>
          <w:sz w:val="24"/>
          <w:szCs w:val="24"/>
          <w:lang w:eastAsia="zh-CN"/>
        </w:rPr>
        <w:t xml:space="preserve">）就</w:t>
      </w:r>
      <w:r>
        <w:rPr>
          <w:rFonts w:hint="eastAsia" w:ascii="宋体" w:hAnsi="宋体" w:eastAsia="宋体" w:cs="Times New Roman"/>
          <w:color w:val="auto"/>
          <w:sz w:val="24"/>
          <w:szCs w:val="24"/>
          <w:lang w:val="en-US" w:eastAsia="zh-CN"/>
        </w:rPr>
        <w:t xml:space="preserve">南京市人民中学学生活动实践中心信息化设备</w:t>
      </w:r>
      <w:r>
        <w:rPr>
          <w:rFonts w:hint="eastAsia" w:ascii="宋体" w:hAnsi="宋体" w:eastAsia="宋体" w:cs="Times New Roman"/>
          <w:b w:val="0"/>
          <w:bCs w:val="0"/>
          <w:color w:val="auto"/>
          <w:sz w:val="24"/>
          <w:szCs w:val="24"/>
          <w:lang w:eastAsia="zh-CN"/>
        </w:rPr>
        <w:t xml:space="preserve">进行公开招标采购，欢迎符合条件的供应商投标。</w:t>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eastAsia="宋体" w:cs="Times New Roman"/>
          <w:sz w:val="24"/>
          <w:szCs w:val="24"/>
          <w:lang w:val="en-US" w:eastAsia="zh-CN"/>
        </w:rPr>
      </w:pPr>
      <w:r/>
      <w:bookmarkStart w:id="12" w:name="_Toc38985264"/>
      <w:r/>
      <w:bookmarkStart w:id="13" w:name="_Toc28359080"/>
      <w:r/>
      <w:bookmarkStart w:id="14" w:name="_Toc28359003"/>
      <w:r/>
      <w:bookmarkStart w:id="15" w:name="_Toc35393622"/>
      <w:r/>
      <w:bookmarkStart w:id="16" w:name="_Toc35393791"/>
      <w:r>
        <w:rPr>
          <w:rFonts w:hint="eastAsia" w:ascii="宋体" w:hAnsi="宋体" w:eastAsia="宋体" w:cs="Times New Roman"/>
          <w:sz w:val="24"/>
          <w:szCs w:val="24"/>
          <w:lang w:val="en-US" w:eastAsia="zh-CN"/>
        </w:rPr>
        <w:t xml:space="preserve">1.项目编号：JSZC-320100-JZCG-G2026-0238 </w:t>
      </w:r>
      <w:r/>
    </w:p>
    <w:p>
      <w:pPr>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2.项目名称：南京市人民中学学生活动实践中心信息化设备</w:t>
      </w:r>
      <w:r/>
    </w:p>
    <w:p>
      <w:pPr>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3.预算金额：400万元</w:t>
      </w:r>
      <w:r/>
    </w:p>
    <w:p>
      <w:pPr>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4.最高限价：350万元</w:t>
      </w:r>
      <w:r/>
    </w:p>
    <w:p>
      <w:pPr>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5.采购需求（简介）：本项目旨在为人民中学学生活动实践中心配置相关信息化设备，包括综合布线、网络系统、广播系统、会议室音视频系统、安防监控系统、物联网系统等。（详细内容见本招标文件第四章） </w:t>
      </w:r>
      <w:r/>
    </w:p>
    <w:p>
      <w:pPr>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6.合同履行期限：120天</w:t>
      </w:r>
      <w:r/>
    </w:p>
    <w:p>
      <w:pPr>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7.本项目不接受联合体投标。</w:t>
      </w:r>
      <w:r/>
    </w:p>
    <w:p>
      <w:pPr>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8.本项目允许分包。（具体要求详见本招标文件第四章）</w:t>
      </w:r>
      <w:r/>
    </w:p>
    <w:p>
      <w:pPr>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9.本项目不接受进口产品投标。</w:t>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hAnsi="宋体" w:eastAsia="宋体" w:cs="宋体"/>
          <w:b w:val="0"/>
          <w:bCs w:val="0"/>
          <w:sz w:val="24"/>
          <w:szCs w:val="24"/>
          <w:highlight w:val="none"/>
        </w:rPr>
      </w:pPr>
      <w:r/>
      <w:bookmarkStart w:id="17" w:name="_Toc28359081"/>
      <w:r/>
      <w:bookmarkStart w:id="18" w:name="_Toc35393623"/>
      <w:r/>
      <w:bookmarkStart w:id="19" w:name="_Toc38985265"/>
      <w:r/>
      <w:bookmarkStart w:id="20" w:name="_Toc28359004"/>
      <w:r/>
      <w:bookmarkStart w:id="21" w:name="_Toc35393792"/>
      <w:r>
        <w:rPr>
          <w:rFonts w:hint="eastAsia" w:ascii="宋体" w:hAnsi="宋体" w:eastAsia="宋体" w:cs="宋体"/>
          <w:b w:val="0"/>
          <w:bCs w:val="0"/>
          <w:sz w:val="24"/>
          <w:szCs w:val="24"/>
          <w:highlight w:val="none"/>
        </w:rPr>
        <w:t xml:space="preserve">（一）通用资格要求</w:t>
      </w:r>
      <w:r/>
    </w:p>
    <w:p>
      <w:pPr>
        <w:ind w:firstLine="480"/>
        <w:pageBreakBefore w:val="0"/>
        <w:spacing w:line="264" w:lineRule="auto"/>
        <w:widowControl w:val="off"/>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1.满足《中华人民共和国政府采购法》第二十二条规定</w:t>
      </w:r>
      <w:r>
        <w:rPr>
          <w:rFonts w:hint="eastAsia" w:ascii="宋体" w:hAnsi="宋体" w:eastAsia="宋体" w:cs="Times New Roman"/>
          <w:sz w:val="24"/>
          <w:szCs w:val="24"/>
          <w:highlight w:val="none"/>
          <w:lang w:val="zh-CN" w:eastAsia="zh-CN"/>
        </w:rPr>
        <w:t xml:space="preserve">，</w:t>
      </w:r>
      <w:r>
        <w:rPr>
          <w:rFonts w:hint="eastAsia" w:ascii="宋体" w:hAnsi="宋体" w:eastAsia="宋体" w:cs="Times New Roman"/>
          <w:sz w:val="24"/>
          <w:szCs w:val="24"/>
          <w:highlight w:val="none"/>
          <w:lang w:val="zh-CN"/>
        </w:rPr>
        <w:t xml:space="preserve">并提供下列材料：</w:t>
      </w:r>
      <w:r/>
    </w:p>
    <w:p>
      <w:pPr>
        <w:ind w:firstLine="480"/>
        <w:pageBreakBefore w:val="0"/>
        <w:spacing w:line="264" w:lineRule="auto"/>
        <w:widowControl w:val="off"/>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供应商信用承诺函（</w:t>
      </w:r>
      <w:r>
        <w:rPr>
          <w:rFonts w:hint="eastAsia" w:ascii="宋体" w:hAnsi="宋体" w:eastAsia="宋体" w:cs="Times New Roman"/>
          <w:sz w:val="24"/>
          <w:szCs w:val="24"/>
          <w:highlight w:val="none"/>
          <w:lang w:val="zh-CN" w:eastAsia="zh-CN"/>
        </w:rPr>
        <w:t xml:space="preserve">格式见第六章</w:t>
      </w: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zh-CN" w:eastAsia="zh-CN"/>
        </w:rPr>
        <w:t xml:space="preserve">。</w:t>
      </w:r>
      <w:r/>
    </w:p>
    <w:p>
      <w:pPr>
        <w:ind w:firstLine="480"/>
        <w:pageBreakBefore w:val="0"/>
        <w:spacing w:line="264" w:lineRule="auto"/>
        <w:widowControl w:val="off"/>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2.落实政府采购政策需满足的资格要求：</w:t>
      </w:r>
      <w:r>
        <w:rPr>
          <w:rFonts w:hint="eastAsia" w:ascii="宋体" w:hAnsi="宋体" w:eastAsia="宋体" w:cs="Times New Roman"/>
          <w:sz w:val="24"/>
          <w:szCs w:val="24"/>
          <w:highlight w:val="none"/>
          <w:lang w:val="en-US" w:eastAsia="zh-CN"/>
        </w:rPr>
        <w:t xml:space="preserve">无。</w:t>
      </w:r>
      <w:r/>
    </w:p>
    <w:p>
      <w:pPr>
        <w:ind w:firstLine="480"/>
        <w:pageBreakBefore w:val="0"/>
        <w:spacing w:line="264" w:lineRule="auto"/>
        <w:widowControl w:val="off"/>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 xml:space="preserve">3.在</w:t>
      </w:r>
      <w:r>
        <w:rPr>
          <w:rFonts w:hint="eastAsia" w:ascii="宋体" w:hAnsi="宋体" w:eastAsia="宋体" w:cs="Times New Roman"/>
          <w:sz w:val="24"/>
          <w:szCs w:val="24"/>
          <w:highlight w:val="none"/>
          <w:lang w:val="zh-CN"/>
        </w:rPr>
        <w:t xml:space="preserve">“信用中国”网站（www.creditchina.gov.cn）</w:t>
      </w:r>
      <w:r>
        <w:rPr>
          <w:rFonts w:hint="eastAsia" w:ascii="宋体" w:hAnsi="宋体" w:eastAsia="宋体" w:cs="Times New Roman"/>
          <w:sz w:val="24"/>
          <w:szCs w:val="24"/>
          <w:highlight w:val="none"/>
          <w:lang w:val="en-US" w:eastAsia="zh-CN"/>
        </w:rPr>
        <w:t xml:space="preserve">查询，不存在被</w:t>
      </w:r>
      <w:r>
        <w:rPr>
          <w:rFonts w:hint="eastAsia" w:ascii="宋体" w:hAnsi="宋体" w:eastAsia="宋体" w:cs="Times New Roman"/>
          <w:sz w:val="24"/>
          <w:szCs w:val="24"/>
          <w:highlight w:val="none"/>
          <w:lang w:val="zh-CN"/>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highlight w:val="none"/>
          <w:lang w:val="en-US" w:eastAsia="zh-CN"/>
        </w:rPr>
        <w:t xml:space="preserve">投标</w:t>
      </w:r>
      <w:r>
        <w:rPr>
          <w:rFonts w:hint="eastAsia" w:ascii="宋体" w:hAnsi="宋体" w:eastAsia="宋体" w:cs="Times New Roman"/>
          <w:sz w:val="24"/>
          <w:szCs w:val="24"/>
          <w:highlight w:val="none"/>
          <w:lang w:val="zh-CN"/>
        </w:rPr>
        <w:t xml:space="preserve">文件中无需提供证明材料）</w:t>
      </w:r>
      <w:r/>
    </w:p>
    <w:p>
      <w:pPr>
        <w:ind w:firstLine="480"/>
        <w:pageBreakBefore w:val="0"/>
        <w:spacing w:line="264"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rPr>
        <w:t xml:space="preserve">（二）本项目特定资格要求</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en-US" w:eastAsia="zh-CN"/>
        </w:rPr>
        <w:t xml:space="preserve">投标人具有</w:t>
      </w:r>
      <w:r>
        <w:rPr>
          <w:rFonts w:hint="eastAsia" w:ascii="宋体" w:hAnsi="宋体" w:eastAsia="宋体" w:cs="Times New Roman"/>
          <w:color w:val="auto"/>
          <w:sz w:val="24"/>
          <w:szCs w:val="24"/>
          <w:highlight w:val="none"/>
          <w:lang w:val="zh-CN" w:eastAsia="zh-CN"/>
        </w:rPr>
        <w:t xml:space="preserve">有效期内</w:t>
      </w:r>
      <w:r>
        <w:rPr>
          <w:rFonts w:hint="eastAsia" w:ascii="宋体" w:hAnsi="宋体" w:eastAsia="宋体" w:cs="Times New Roman"/>
          <w:color w:val="auto"/>
          <w:sz w:val="24"/>
          <w:szCs w:val="24"/>
          <w:highlight w:val="none"/>
          <w:lang w:val="en-US" w:eastAsia="zh-CN"/>
        </w:rPr>
        <w:t xml:space="preserve">电子与智能化</w:t>
      </w:r>
      <w:r>
        <w:rPr>
          <w:rFonts w:hint="eastAsia" w:ascii="宋体" w:hAnsi="宋体" w:eastAsia="宋体" w:cs="Times New Roman"/>
          <w:color w:val="auto"/>
          <w:sz w:val="24"/>
          <w:szCs w:val="24"/>
          <w:highlight w:val="none"/>
          <w:lang w:val="zh-CN" w:eastAsia="zh-CN"/>
        </w:rPr>
        <w:t xml:space="preserve">工程专业承包二级及以上</w:t>
      </w:r>
      <w:r>
        <w:rPr>
          <w:rFonts w:hint="eastAsia" w:ascii="宋体" w:hAnsi="宋体" w:eastAsia="宋体" w:cs="Times New Roman"/>
          <w:color w:val="auto"/>
          <w:sz w:val="24"/>
          <w:szCs w:val="24"/>
          <w:highlight w:val="none"/>
          <w:lang w:val="en-US" w:eastAsia="zh-CN"/>
        </w:rPr>
        <w:t xml:space="preserve">资质证书</w:t>
      </w:r>
      <w:r>
        <w:rPr>
          <w:rFonts w:hint="eastAsia" w:ascii="宋体" w:hAnsi="宋体" w:cs="Times New Roman"/>
          <w:color w:val="auto"/>
          <w:sz w:val="24"/>
          <w:szCs w:val="24"/>
          <w:highlight w:val="none"/>
          <w:lang w:val="en-US" w:eastAsia="zh-CN"/>
        </w:rPr>
        <w:t xml:space="preserve">（提供证书电子件）；</w:t>
      </w:r>
      <w:r>
        <w:rPr>
          <w:rFonts w:hint="eastAsia" w:ascii="宋体" w:hAnsi="宋体" w:eastAsia="宋体" w:cs="Times New Roman"/>
          <w:color w:val="auto"/>
          <w:sz w:val="24"/>
          <w:szCs w:val="24"/>
          <w:highlight w:val="none"/>
          <w:lang w:val="en-US" w:eastAsia="zh-CN"/>
        </w:rPr>
        <w:t xml:space="preserve">或</w:t>
      </w:r>
      <w:r>
        <w:rPr>
          <w:rFonts w:hint="eastAsia" w:ascii="宋体" w:hAnsi="宋体" w:cs="Times New Roman"/>
          <w:color w:val="auto"/>
          <w:sz w:val="24"/>
          <w:szCs w:val="24"/>
          <w:highlight w:val="none"/>
          <w:lang w:val="en-US" w:eastAsia="zh-CN"/>
        </w:rPr>
        <w:t xml:space="preserve">将</w:t>
      </w:r>
      <w:r>
        <w:rPr>
          <w:rFonts w:hint="eastAsia" w:ascii="宋体" w:hAnsi="宋体" w:eastAsia="宋体" w:cs="Times New Roman"/>
          <w:color w:val="auto"/>
          <w:sz w:val="24"/>
          <w:szCs w:val="24"/>
          <w:highlight w:val="none"/>
          <w:lang w:val="en-US" w:eastAsia="zh-CN"/>
        </w:rPr>
        <w:t xml:space="preserve">墙面管路预埋内容分包给具有</w:t>
      </w:r>
      <w:r>
        <w:rPr>
          <w:rFonts w:hint="eastAsia" w:ascii="宋体" w:hAnsi="宋体" w:eastAsia="宋体" w:cs="Times New Roman"/>
          <w:color w:val="auto"/>
          <w:sz w:val="24"/>
          <w:szCs w:val="24"/>
          <w:highlight w:val="none"/>
          <w:lang w:val="zh-CN" w:eastAsia="zh-CN"/>
        </w:rPr>
        <w:t xml:space="preserve">有效期内</w:t>
      </w:r>
      <w:r>
        <w:rPr>
          <w:rFonts w:hint="eastAsia" w:ascii="宋体" w:hAnsi="宋体" w:eastAsia="宋体" w:cs="Times New Roman"/>
          <w:color w:val="auto"/>
          <w:sz w:val="24"/>
          <w:szCs w:val="24"/>
          <w:highlight w:val="none"/>
          <w:lang w:val="en-US" w:eastAsia="zh-CN"/>
        </w:rPr>
        <w:t xml:space="preserve">电子与智能化</w:t>
      </w:r>
      <w:r>
        <w:rPr>
          <w:rFonts w:hint="eastAsia" w:ascii="宋体" w:hAnsi="宋体" w:eastAsia="宋体" w:cs="Times New Roman"/>
          <w:color w:val="auto"/>
          <w:sz w:val="24"/>
          <w:szCs w:val="24"/>
          <w:highlight w:val="none"/>
          <w:lang w:val="zh-CN" w:eastAsia="zh-CN"/>
        </w:rPr>
        <w:t xml:space="preserve">工程专业承包二级及以上</w:t>
      </w:r>
      <w:r>
        <w:rPr>
          <w:rFonts w:hint="eastAsia" w:ascii="宋体" w:hAnsi="宋体" w:eastAsia="宋体" w:cs="Times New Roman"/>
          <w:color w:val="auto"/>
          <w:sz w:val="24"/>
          <w:szCs w:val="24"/>
          <w:highlight w:val="none"/>
          <w:lang w:val="en-US" w:eastAsia="zh-CN"/>
        </w:rPr>
        <w:t xml:space="preserve">资质证书供应商实施，</w:t>
      </w:r>
      <w:r>
        <w:rPr>
          <w:rFonts w:hint="eastAsia" w:ascii="宋体" w:hAnsi="宋体" w:eastAsia="宋体" w:cs="宋体"/>
          <w:i w:val="0"/>
          <w:iCs w:val="0"/>
          <w:caps w:val="0"/>
          <w:color w:val="auto"/>
          <w:spacing w:val="0"/>
          <w:sz w:val="24"/>
          <w:szCs w:val="24"/>
          <w:shd w:val="clear" w:color="auto" w:fill="auto"/>
          <w:lang w:val="en-US" w:eastAsia="zh-CN"/>
        </w:rPr>
        <w:t xml:space="preserve">提供分包情况说明及分包意向协议</w:t>
      </w:r>
      <w:r>
        <w:rPr>
          <w:rFonts w:hint="eastAsia" w:ascii="宋体" w:hAnsi="宋体" w:eastAsia="宋体" w:cs="宋体"/>
          <w:i w:val="0"/>
          <w:iCs w:val="0"/>
          <w:caps w:val="0"/>
          <w:color w:val="auto"/>
          <w:spacing w:val="0"/>
          <w:sz w:val="24"/>
          <w:szCs w:val="24"/>
          <w:shd w:val="clear" w:color="auto" w:fill="auto"/>
          <w:lang w:eastAsia="zh-CN"/>
        </w:rPr>
        <w:t xml:space="preserve">（</w:t>
      </w:r>
      <w:r>
        <w:rPr>
          <w:rFonts w:hint="eastAsia" w:ascii="宋体" w:hAnsi="宋体" w:eastAsia="宋体" w:cs="宋体"/>
          <w:i w:val="0"/>
          <w:iCs w:val="0"/>
          <w:caps w:val="0"/>
          <w:color w:val="auto"/>
          <w:spacing w:val="0"/>
          <w:sz w:val="24"/>
          <w:szCs w:val="24"/>
          <w:shd w:val="clear" w:color="auto" w:fill="auto"/>
          <w:lang w:val="en-US" w:eastAsia="zh-CN"/>
        </w:rPr>
        <w:t xml:space="preserve">格式见第六章</w:t>
      </w:r>
      <w:r>
        <w:rPr>
          <w:rFonts w:hint="eastAsia" w:ascii="宋体" w:hAnsi="宋体" w:eastAsia="宋体" w:cs="宋体"/>
          <w:i w:val="0"/>
          <w:iCs w:val="0"/>
          <w:caps w:val="0"/>
          <w:color w:val="auto"/>
          <w:spacing w:val="0"/>
          <w:sz w:val="24"/>
          <w:szCs w:val="24"/>
          <w:shd w:val="clear" w:color="auto" w:fill="auto"/>
          <w:lang w:eastAsia="zh-CN"/>
        </w:rPr>
        <w:t xml:space="preserve">）</w:t>
      </w:r>
      <w:r>
        <w:rPr>
          <w:rFonts w:hint="eastAsia" w:ascii="宋体" w:hAnsi="宋体" w:eastAsia="宋体" w:cs="Times New Roman"/>
          <w:color w:val="auto"/>
          <w:sz w:val="24"/>
          <w:szCs w:val="24"/>
          <w:highlight w:val="none"/>
          <w:lang w:val="zh-CN" w:eastAsia="zh-CN"/>
        </w:rPr>
        <w:t xml:space="preserve">。</w:t>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28359007"/>
      <w:r/>
      <w:bookmarkStart w:id="28" w:name="_Toc28359084"/>
      <w:r/>
      <w:bookmarkStart w:id="29" w:name="_Toc38985267"/>
      <w:r/>
      <w:bookmarkStart w:id="30" w:name="_Toc35393625"/>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rPr>
        <w:t xml:space="preserve">20</w:t>
      </w:r>
      <w:r>
        <w:rPr>
          <w:rFonts w:hint="eastAsia" w:ascii="Times New Roman" w:hAnsi="Times New Roman" w:eastAsia="宋体" w:cs="Times New Roman"/>
          <w:color w:val="000000" w:themeColor="text1"/>
          <w:sz w:val="24"/>
          <w:szCs w:val="24"/>
          <w:u w:val="none"/>
          <w:lang w:val="en-US" w:eastAsia="zh-CN"/>
        </w:rPr>
        <w:t xml:space="preserve">2</w:t>
      </w:r>
      <w:r>
        <w:rPr>
          <w:rFonts w:hint="eastAsia" w:ascii="Times New Roman" w:hAnsi="Times New Roman" w:eastAsia="宋体" w:cs="Times New Roman"/>
          <w:color w:val="000000" w:themeColor="text1"/>
          <w:sz w:val="24"/>
          <w:szCs w:val="24"/>
          <w:u w:val="none"/>
          <w:lang w:val="en-US" w:eastAsia="zh-CN"/>
        </w:rPr>
        <w:t xml:space="preserve">6</w:t>
      </w:r>
      <w:r>
        <w:rPr>
          <w:rFonts w:hint="eastAsia" w:ascii="Times New Roman" w:hAnsi="Times New Roman" w:eastAsia="宋体" w:cs="Times New Roman"/>
          <w:color w:val="000000" w:themeColor="text1"/>
          <w:sz w:val="24"/>
          <w:szCs w:val="24"/>
          <w:u w:val="none"/>
          <w:lang w:val="en-US" w:eastAsia="zh-CN"/>
        </w:rPr>
        <w:t xml:space="preserve">年</w:t>
      </w:r>
      <w:r>
        <w:rPr>
          <w:rFonts w:hint="eastAsia" w:ascii="Times New Roman" w:hAnsi="Times New Roman" w:eastAsia="宋体" w:cs="Times New Roman"/>
          <w:color w:val="000000" w:themeColor="text1"/>
          <w:sz w:val="24"/>
          <w:szCs w:val="24"/>
          <w:u w:val="none"/>
          <w:lang w:val="en-US" w:eastAsia="zh-CN"/>
        </w:rPr>
        <w:t xml:space="preserve">8</w:t>
      </w:r>
      <w:r>
        <w:rPr>
          <w:rFonts w:hint="eastAsia" w:ascii="Times New Roman" w:hAnsi="Times New Roman" w:eastAsia="宋体" w:cs="Times New Roman"/>
          <w:color w:val="000000" w:themeColor="text1"/>
          <w:sz w:val="24"/>
          <w:szCs w:val="24"/>
          <w:u w:val="none"/>
          <w:lang w:val="en-US" w:eastAsia="zh-CN"/>
        </w:rPr>
        <w:t xml:space="preserve">月</w:t>
      </w:r>
      <w:r>
        <w:rPr>
          <w:rFonts w:hint="eastAsia" w:ascii="Times New Roman" w:hAnsi="Times New Roman" w:eastAsia="宋体" w:cs="Times New Roman"/>
          <w:color w:val="000000" w:themeColor="text1"/>
          <w:sz w:val="24"/>
          <w:szCs w:val="24"/>
          <w:u w:val="none"/>
          <w:lang w:val="en-US" w:eastAsia="zh-CN"/>
        </w:rPr>
        <w:t xml:space="preserve">7</w:t>
      </w:r>
      <w:r>
        <w:rPr>
          <w:rFonts w:hint="eastAsia" w:ascii="Times New Roman" w:hAnsi="Times New Roman" w:eastAsia="宋体" w:cs="Times New Roman"/>
          <w:color w:val="000000" w:themeColor="text1"/>
          <w:sz w:val="24"/>
          <w:szCs w:val="24"/>
          <w:u w:val="none"/>
          <w:lang w:val="en-US" w:eastAsia="zh-CN"/>
        </w:rPr>
        <w:t xml:space="preserve">日</w:t>
      </w:r>
      <w:r>
        <w:rPr>
          <w:rFonts w:hint="eastAsia" w:ascii="Times New Roman" w:hAnsi="Times New Roman" w:eastAsia="宋体" w:cs="Times New Roman"/>
          <w:color w:val="000000" w:themeColor="text1"/>
          <w:sz w:val="24"/>
          <w:szCs w:val="24"/>
          <w:u w:val="none"/>
          <w:lang w:val="en-US" w:eastAsia="zh-CN"/>
        </w:rPr>
        <w:t xml:space="preserve">09</w:t>
      </w:r>
      <w:r>
        <w:rPr>
          <w:rFonts w:hint="eastAsia" w:ascii="Times New Roman" w:hAnsi="Times New Roman" w:eastAsia="宋体" w:cs="Times New Roman"/>
          <w:color w:val="000000" w:themeColor="text1"/>
          <w:sz w:val="24"/>
          <w:szCs w:val="24"/>
          <w:u w:val="none"/>
          <w:lang w:val="en-US" w:eastAsia="zh-CN"/>
        </w:rPr>
        <w:t xml:space="preserve">时30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876"/>
        <w:ind w:firstLine="498"/>
        <w:pageBreakBefore w:val="0"/>
        <w:spacing w:before="145" w:after="145" w:line="264"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64" w:lineRule="auto"/>
        <w:widowControl w:val="off"/>
        <w:rPr>
          <w:rFonts w:hint="eastAsia" w:ascii="宋体" w:hAnsi="宋体" w:eastAsia="宋体" w:cs="宋体"/>
          <w:bCs w:val="0"/>
          <w:color w:val="auto"/>
          <w:sz w:val="24"/>
          <w:szCs w:val="24"/>
          <w:highlight w:val="none"/>
        </w:rPr>
      </w:pPr>
      <w:r/>
      <w:bookmarkStart w:id="35" w:name="_Toc35393627"/>
      <w:r/>
      <w:bookmarkStart w:id="36" w:name="_Toc38985269"/>
      <w:r/>
      <w:bookmarkStart w:id="37" w:name="_Toc28359008"/>
      <w:r/>
      <w:bookmarkStart w:id="38" w:name="_Toc35393796"/>
      <w:r/>
      <w:bookmarkStart w:id="39" w:name="_Toc28359085"/>
      <w:r>
        <w:rPr>
          <w:rFonts w:hint="eastAsia" w:ascii="宋体" w:hAnsi="宋体" w:eastAsia="宋体" w:cs="宋体"/>
          <w:color w:val="auto"/>
          <w:sz w:val="24"/>
          <w:szCs w:val="24"/>
          <w:highlight w:val="none"/>
        </w:rPr>
        <w:t xml:space="preserve">1.</w:t>
      </w:r>
      <w:r>
        <w:rPr>
          <w:rFonts w:hint="eastAsia" w:ascii="宋体" w:hAnsi="宋体" w:eastAsia="宋体" w:cs="宋体"/>
          <w:bCs w:val="0"/>
          <w:color w:val="auto"/>
          <w:sz w:val="24"/>
          <w:szCs w:val="24"/>
          <w:highlight w:val="none"/>
        </w:rPr>
        <w:t xml:space="preserve">本次招标不收取投标保证金。</w:t>
      </w:r>
      <w:r/>
    </w:p>
    <w:p>
      <w:pPr>
        <w:ind w:firstLine="480"/>
        <w:pageBreakBefore w:val="0"/>
        <w:spacing w:line="264"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本项目组织集中</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供应商代表携带加盖单位公章的营业执照复印件、法定代表人授权委托书、身份证参加。签到时间：</w:t>
      </w:r>
      <w:r>
        <w:rPr>
          <w:rFonts w:hint="eastAsia" w:ascii="Times New Roman" w:hAnsi="Times New Roman" w:eastAsia="宋体" w:cs="Times New Roman"/>
          <w:color w:val="000000" w:themeColor="text1"/>
          <w:sz w:val="24"/>
          <w:szCs w:val="24"/>
          <w:u w:val="none"/>
          <w:lang w:val="en-US" w:eastAsia="zh-CN"/>
        </w:rPr>
        <w:t xml:space="preserve">2026年7月24日9时00分至9时10分</w:t>
      </w:r>
      <w:r>
        <w:rPr>
          <w:rFonts w:hint="eastAsia" w:ascii="宋体" w:hAnsi="宋体" w:eastAsia="宋体" w:cs="宋体"/>
          <w:color w:val="auto"/>
          <w:sz w:val="24"/>
          <w:szCs w:val="24"/>
          <w:highlight w:val="none"/>
          <w:lang w:val="en-US" w:eastAsia="zh-CN"/>
        </w:rPr>
        <w:t xml:space="preserve">，地址：南京市玄武区新街口中山路178号人民中学，联系人：付</w:t>
      </w:r>
      <w:r>
        <w:rPr>
          <w:rFonts w:hint="eastAsia" w:ascii="宋体" w:hAnsi="宋体" w:eastAsia="宋体" w:cs="宋体"/>
          <w:color w:val="auto"/>
          <w:sz w:val="24"/>
          <w:szCs w:val="24"/>
          <w:highlight w:val="none"/>
          <w:lang w:val="en-US" w:eastAsia="zh-CN"/>
        </w:rPr>
        <w:t xml:space="preserve">先生</w:t>
      </w:r>
      <w:r>
        <w:rPr>
          <w:rFonts w:hint="eastAsia" w:ascii="宋体" w:hAnsi="宋体" w:eastAsia="宋体" w:cs="宋体"/>
          <w:color w:val="auto"/>
          <w:sz w:val="24"/>
          <w:szCs w:val="24"/>
          <w:highlight w:val="none"/>
          <w:lang w:val="en-US" w:eastAsia="zh-CN"/>
        </w:rPr>
        <w:t xml:space="preserve">，联系电话：025-84550122。</w:t>
      </w:r>
      <w:r>
        <w:rPr>
          <w:rFonts w:hint="eastAsia" w:ascii="宋体" w:hAnsi="宋体" w:eastAsia="宋体" w:cs="宋体"/>
          <w:color w:val="auto"/>
          <w:sz w:val="24"/>
          <w:szCs w:val="24"/>
          <w:highlight w:val="none"/>
          <w:lang w:bidi="ar"/>
        </w:rPr>
        <w:t xml:space="preserve">学校</w:t>
      </w:r>
      <w:r>
        <w:rPr>
          <w:rFonts w:hint="eastAsia" w:ascii="宋体" w:hAnsi="宋体" w:eastAsia="宋体" w:cs="宋体"/>
          <w:sz w:val="24"/>
          <w:szCs w:val="24"/>
          <w:lang w:bidi="ar"/>
        </w:rPr>
        <w:t xml:space="preserve">原有无线AP</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广播控制主机</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监控摄像机</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物联网管理平台</w:t>
      </w:r>
      <w:r>
        <w:rPr>
          <w:rFonts w:hint="eastAsia" w:ascii="宋体" w:hAnsi="宋体" w:eastAsia="宋体" w:cs="宋体"/>
          <w:color w:val="auto"/>
          <w:sz w:val="24"/>
          <w:szCs w:val="24"/>
          <w:highlight w:val="none"/>
          <w:lang w:val="en-US" w:eastAsia="zh-CN" w:bidi="ar"/>
        </w:rPr>
        <w:t xml:space="preserve">情况，供应商可以通过该环节了解。</w:t>
      </w:r>
      <w:r/>
    </w:p>
    <w:p>
      <w:pPr>
        <w:ind w:firstLine="480"/>
        <w:pageBreakBefore w:val="0"/>
        <w:spacing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64"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64"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auto"/>
          <w:sz w:val="24"/>
          <w:szCs w:val="24"/>
          <w:lang w:val="en-US" w:eastAsia="zh-CN"/>
        </w:rPr>
        <w:t xml:space="preserve">付</w:t>
      </w:r>
      <w:r>
        <w:rPr>
          <w:rFonts w:hint="eastAsia" w:ascii="宋体" w:hAnsi="宋体" w:cs="Times New Roman"/>
          <w:color w:val="auto"/>
          <w:sz w:val="24"/>
          <w:szCs w:val="24"/>
          <w:lang w:val="en-US" w:eastAsia="zh-CN"/>
        </w:rPr>
        <w:t xml:space="preserve">先生</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lang w:val="en-US" w:eastAsia="zh-CN"/>
        </w:rPr>
        <w:t xml:space="preserve">南京市玄武区如意里20号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lang w:val="en-US" w:eastAsia="zh-CN"/>
        </w:rPr>
        <w:t xml:space="preserve">025-84550122</w:t>
      </w:r>
      <w:r>
        <w:rPr>
          <w:rFonts w:hint="eastAsia" w:ascii="宋体" w:hAnsi="宋体" w:eastAsia="宋体" w:cs="Times New Roman"/>
          <w:b w:val="0"/>
          <w:bCs w:val="0"/>
          <w:color w:val="000000"/>
          <w:sz w:val="24"/>
          <w:lang w:val="en-US" w:eastAsia="zh-CN"/>
        </w:rPr>
        <w:t xml:space="preserve">。</w:t>
      </w:r>
      <w:r/>
    </w:p>
    <w:p>
      <w:pPr>
        <w:ind w:firstLine="480"/>
        <w:keepLines w:val="0"/>
        <w:keepNext w:val="0"/>
        <w:pageBreakBefore w:val="0"/>
        <w:spacing w:line="264" w:lineRule="auto"/>
        <w:widowControl/>
        <w:rPr>
          <w:rFonts w:hint="eastAsia" w:ascii="宋体" w:hAnsi="宋体" w:eastAsia="宋体" w:cs="Times New Roman"/>
          <w:b w:val="0"/>
          <w:bCs w:val="0"/>
          <w:color w:val="0000ff"/>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spacing w:line="264"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名  称：南京市玄武区教育局          </w:t>
      </w:r>
      <w:r/>
    </w:p>
    <w:p>
      <w:pPr>
        <w:ind w:firstLine="480"/>
        <w:spacing w:line="264"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地  址：南京市玄武区如意里20号    </w:t>
      </w:r>
      <w:r/>
    </w:p>
    <w:p>
      <w:pPr>
        <w:ind w:firstLine="480"/>
        <w:spacing w:line="264"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联系人：付</w:t>
      </w:r>
      <w:r>
        <w:rPr>
          <w:rFonts w:hint="eastAsia" w:ascii="宋体" w:hAnsi="宋体" w:cs="Times New Roman"/>
          <w:color w:val="auto"/>
          <w:sz w:val="24"/>
          <w:szCs w:val="24"/>
          <w:lang w:val="en-US" w:eastAsia="zh-CN"/>
        </w:rPr>
        <w:t xml:space="preserve">先生</w:t>
      </w:r>
      <w:r/>
    </w:p>
    <w:p>
      <w:pPr>
        <w:ind w:firstLine="480"/>
        <w:spacing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联系电话：025-84550122</w:t>
      </w:r>
      <w:r>
        <w:rPr>
          <w:rFonts w:hint="eastAsia" w:ascii="宋体" w:hAnsi="宋体" w:eastAsia="宋体" w:cs="Times New Roman"/>
          <w:color w:val="auto"/>
          <w:sz w:val="24"/>
          <w:szCs w:val="24"/>
        </w:rPr>
        <w:t xml:space="preserve"> </w:t>
      </w:r>
      <w:bookmarkStart w:id="40" w:name="_Toc28359086"/>
      <w:r/>
      <w:bookmarkStart w:id="41" w:name="_Toc28359009"/>
      <w:r/>
      <w:r/>
    </w:p>
    <w:p>
      <w:pPr>
        <w:ind w:firstLine="480"/>
        <w:spacing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2.交易中心</w:t>
      </w:r>
      <w:bookmarkEnd w:id="40"/>
      <w:r/>
      <w:bookmarkEnd w:id="41"/>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lang w:val="en-US" w:eastAsia="zh-CN"/>
        </w:rPr>
        <w:t xml:space="preserve">建邺区江东中路265</w:t>
      </w:r>
      <w:r>
        <w:rPr>
          <w:rFonts w:hint="eastAsia" w:ascii="宋体" w:hAnsi="宋体" w:cs="宋体"/>
          <w:color w:val="auto"/>
          <w:sz w:val="24"/>
          <w:szCs w:val="24"/>
        </w:rPr>
        <w:t xml:space="preserve">号</w:t>
      </w:r>
      <w:r>
        <w:rPr>
          <w:rFonts w:hint="eastAsia" w:ascii="宋体" w:hAnsi="宋体"/>
          <w:color w:val="auto"/>
          <w:sz w:val="24"/>
          <w:szCs w:val="24"/>
        </w:rPr>
        <w:t xml:space="preserve">    </w:t>
      </w:r>
      <w:r/>
    </w:p>
    <w:p>
      <w:pPr>
        <w:ind w:firstLine="480"/>
        <w:spacing w:line="264" w:lineRule="auto"/>
        <w:rPr>
          <w:rFonts w:hint="default" w:ascii="宋体" w:hAnsi="宋体"/>
          <w:color w:val="auto"/>
          <w:sz w:val="24"/>
          <w:szCs w:val="24"/>
          <w:lang w:val="en-US"/>
        </w:rPr>
      </w:pPr>
      <w:r>
        <w:rPr>
          <w:rFonts w:hint="eastAsia" w:ascii="宋体" w:hAnsi="宋体"/>
          <w:color w:val="auto"/>
          <w:sz w:val="24"/>
          <w:szCs w:val="24"/>
        </w:rPr>
        <w:t xml:space="preserve">联系人：</w:t>
      </w:r>
      <w:r>
        <w:rPr>
          <w:rFonts w:hint="eastAsia" w:ascii="宋体" w:hAnsi="宋体" w:cs="Times New Roman"/>
          <w:b w:val="0"/>
          <w:bCs w:val="0"/>
          <w:color w:val="auto"/>
          <w:sz w:val="24"/>
          <w:lang w:val="en-US" w:eastAsia="zh-CN"/>
        </w:rPr>
        <w:t xml:space="preserve">陈先生</w:t>
      </w:r>
      <w:r/>
    </w:p>
    <w:p>
      <w:pPr>
        <w:ind w:right="0" w:firstLine="480"/>
        <w:jc w:val="both"/>
        <w:spacing w:line="252" w:lineRule="auto"/>
        <w:rPr>
          <w:rFonts w:hint="eastAsia" w:ascii="宋体" w:hAnsi="宋体" w:eastAsia="宋体" w:cs="Times New Roman"/>
          <w:color w:val="auto"/>
          <w:sz w:val="24"/>
          <w:szCs w:val="24"/>
          <w:u w:val="none"/>
          <w:lang w:val="en-US" w:eastAsia="zh-CN"/>
        </w:rPr>
        <w:outlineLvl w:val="9"/>
      </w:pPr>
      <w:r>
        <w:rPr>
          <w:rFonts w:hint="eastAsia" w:ascii="宋体" w:hAnsi="宋体"/>
          <w:color w:val="auto"/>
          <w:sz w:val="24"/>
          <w:szCs w:val="24"/>
        </w:rPr>
        <w:t xml:space="preserve">联系电话：025-</w:t>
      </w:r>
      <w:r>
        <w:rPr>
          <w:rFonts w:hint="eastAsia" w:ascii="宋体" w:hAnsi="宋体" w:eastAsia="宋体" w:cs="Times New Roman"/>
          <w:b w:val="0"/>
          <w:bCs w:val="0"/>
          <w:color w:val="auto"/>
          <w:sz w:val="24"/>
          <w:lang w:val="en-US" w:eastAsia="zh-CN"/>
        </w:rPr>
        <w:t xml:space="preserve">6850</w:t>
      </w:r>
      <w:r>
        <w:rPr>
          <w:rFonts w:hint="eastAsia" w:ascii="宋体" w:hAnsi="宋体" w:cs="Times New Roman"/>
          <w:b w:val="0"/>
          <w:bCs w:val="0"/>
          <w:color w:val="auto"/>
          <w:sz w:val="24"/>
          <w:lang w:val="en-US" w:eastAsia="zh-CN"/>
        </w:rPr>
        <w:t xml:space="preserve">5915</w:t>
      </w:r>
      <w:r>
        <w:rPr>
          <w:rFonts w:hint="eastAsia" w:ascii="宋体" w:hAnsi="宋体" w:eastAsia="宋体" w:cs="Times New Roman"/>
          <w:b w:val="0"/>
          <w:bCs w:val="0"/>
          <w:color w:val="auto"/>
          <w:sz w:val="24"/>
          <w:lang w:val="en-US" w:eastAsia="zh-CN"/>
        </w:rPr>
        <w:t xml:space="preserve"> </w:t>
      </w:r>
      <w:r/>
    </w:p>
    <w:p>
      <w:pPr>
        <w:ind w:right="0" w:firstLine="480"/>
        <w:jc w:val="center"/>
        <w:spacing w:line="252" w:lineRule="auto"/>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513029203"/>
      <w:r/>
      <w:bookmarkStart w:id="50" w:name="_Toc20823275"/>
      <w:r/>
      <w:bookmarkStart w:id="51" w:name="_Toc120614221"/>
      <w:r/>
      <w:bookmarkStart w:id="52" w:name="_Toc479757207"/>
      <w:r/>
      <w:bookmarkStart w:id="53" w:name="_Toc16938558"/>
      <w:r/>
      <w:bookmarkStart w:id="54" w:name="_Toc20823314"/>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20823277"/>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20823282"/>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20823283"/>
      <w:r/>
      <w:bookmarkStart w:id="80" w:name="_Toc462564070"/>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462564071"/>
      <w:r/>
      <w:bookmarkStart w:id="83" w:name="_Toc513029212"/>
      <w:r/>
      <w:bookmarkStart w:id="84" w:name="_Toc20823284"/>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462564072"/>
      <w:r/>
      <w:bookmarkStart w:id="88" w:name="_Toc20823285"/>
      <w:r/>
      <w:bookmarkStart w:id="89" w:name="_Toc513029213"/>
      <w:r/>
      <w:bookmarkStart w:id="90"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513029214"/>
      <w:r/>
      <w:bookmarkStart w:id="93" w:name="_Toc16938530"/>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Hlt26670360"/>
      <w:r/>
      <w:bookmarkEnd w:id="101"/>
      <w:r/>
      <w:bookmarkStart w:id="102" w:name="_Toc513029219"/>
      <w:r/>
      <w:bookmarkStart w:id="103" w:name="_Toc14577357"/>
      <w:r/>
      <w:bookmarkStart w:id="104" w:name="_Toc49090509"/>
      <w:r/>
      <w:bookmarkStart w:id="105" w:name="_Toc49090507"/>
      <w:r/>
      <w:bookmarkStart w:id="106" w:name="_Toc513029216"/>
      <w:r/>
      <w:bookmarkStart w:id="107" w:name="_Toc14577354"/>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954731"/>
      <w:r/>
      <w:bookmarkEnd w:id="113"/>
      <w:r/>
      <w:bookmarkStart w:id="114" w:name="_Hlt26668983"/>
      <w:r/>
      <w:bookmarkEnd w:id="114"/>
      <w:r/>
      <w:bookmarkStart w:id="115" w:name="_Hlt26954844"/>
      <w:r/>
      <w:bookmarkEnd w:id="115"/>
      <w:r/>
      <w:bookmarkStart w:id="116" w:name="_Hlt26670482"/>
      <w:r/>
      <w:bookmarkEnd w:id="116"/>
      <w:r/>
      <w:bookmarkStart w:id="117" w:name="_Hlt26670403"/>
      <w:r/>
      <w:bookmarkEnd w:id="117"/>
      <w:r/>
      <w:bookmarkStart w:id="118" w:name="_Hlt26670425"/>
      <w:r/>
      <w:bookmarkEnd w:id="118"/>
      <w:r/>
      <w:bookmarkStart w:id="119" w:name="_Hlt26954848"/>
      <w:r/>
      <w:bookmarkEnd w:id="119"/>
      <w:r/>
      <w:bookmarkStart w:id="120" w:name="_Hlt26954842"/>
      <w:r/>
      <w:bookmarkEnd w:id="120"/>
      <w:r/>
      <w:bookmarkStart w:id="121" w:name="_Hlt26954846"/>
      <w:r/>
      <w:bookmarkEnd w:id="121"/>
      <w:r/>
      <w:bookmarkStart w:id="122" w:name="_Hlt26670486"/>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3"/>
      <w:r/>
      <w:bookmarkEnd w:id="124"/>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120614217"/>
      <w:r/>
      <w:bookmarkStart w:id="133" w:name="_Toc20823296"/>
      <w:r/>
      <w:bookmarkStart w:id="134" w:name="_Toc16938540"/>
      <w:r/>
      <w:bookmarkStart w:id="135" w:name="_Toc513029224"/>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16938541"/>
      <w:r/>
      <w:bookmarkStart w:id="138" w:name="_Toc20823297"/>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20823299"/>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16938544"/>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16938546"/>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513029231"/>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78"/>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16938550"/>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eastAsia="zh-CN"/>
        </w:rPr>
        <w:t xml:space="preserve">评标过程中出现下列情形之一的，评委会应当启动异常低价审查程序：</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（1）投标报价低于全部通过符合性审查供应商投标报价平均值50%的，即投标报价&lt;全部通过符合性审查供应商投标报价平均值×50%；</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（2）投标报价低于通过符合性审查的次低报价供应商投标报价50%的，即投标报价&lt;通过符合性审查的次低报价供应商投标报价×50%；</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（3）投标报价低于采购项目最高限价45%的，即投标报价&lt;采购项目最高限价×45%；</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（4）评委会基于专业判断，认为供应商报价过低，有可能影响产品质量或者不能诚信履约的其他情形。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16938551"/>
      <w:r/>
      <w:bookmarkStart w:id="171" w:name="_Toc513029235"/>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w:t>
      </w:r>
      <w:r>
        <w:rPr>
          <w:rFonts w:hint="eastAsia" w:ascii="宋体" w:hAnsi="宋体" w:eastAsia="宋体" w:cs="Times New Roman"/>
          <w:color w:val="000000"/>
          <w:sz w:val="24"/>
          <w:lang w:val="en-US" w:eastAsia="zh-CN"/>
        </w:rPr>
        <w:t xml:space="preserve">严重违法</w:t>
      </w:r>
      <w:r>
        <w:rPr>
          <w:rFonts w:hint="eastAsia" w:ascii="宋体" w:hAnsi="宋体" w:eastAsia="宋体" w:cs="Times New Roman"/>
          <w:color w:val="000000"/>
          <w:sz w:val="24"/>
          <w:lang w:val="zh-CN"/>
        </w:rPr>
        <w:t xml:space="preserve">失信被执行人或重大税收违法案件当事人名单或政府采购严重</w:t>
      </w:r>
      <w:r>
        <w:rPr>
          <w:rFonts w:hint="eastAsia" w:ascii="宋体" w:hAnsi="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w:t>
      </w:r>
      <w:r>
        <w:rPr>
          <w:rFonts w:hint="eastAsia" w:ascii="宋体" w:hAnsi="宋体" w:cs="Times New Roman"/>
          <w:color w:val="000000"/>
          <w:sz w:val="24"/>
          <w:lang w:val="en-US" w:eastAsia="zh-CN"/>
        </w:rPr>
        <w:t xml:space="preserve">展</w:t>
      </w:r>
      <w:r>
        <w:rPr>
          <w:rFonts w:hint="eastAsia" w:ascii="宋体" w:hAnsi="宋体" w:eastAsia="宋体" w:cs="Times New Roman"/>
          <w:color w:val="000000"/>
          <w:sz w:val="24"/>
          <w:lang w:val="zh-CN" w:eastAsia="zh-CN"/>
        </w:rPr>
        <w:t xml:space="preserve">改</w:t>
      </w:r>
      <w:r>
        <w:rPr>
          <w:rFonts w:hint="eastAsia" w:ascii="宋体" w:hAnsi="宋体" w:cs="Times New Roman"/>
          <w:color w:val="000000"/>
          <w:sz w:val="24"/>
          <w:lang w:val="en-US" w:eastAsia="zh-CN"/>
        </w:rPr>
        <w:t xml:space="preserve">革</w:t>
      </w:r>
      <w:r>
        <w:rPr>
          <w:rFonts w:hint="eastAsia" w:ascii="宋体" w:hAnsi="宋体" w:eastAsia="宋体" w:cs="Times New Roman"/>
          <w:color w:val="000000"/>
          <w:sz w:val="24"/>
          <w:lang w:val="zh-CN" w:eastAsia="zh-CN"/>
        </w:rPr>
        <w:t xml:space="preserve">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6"/>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20823308"/>
      <w:r/>
      <w:bookmarkStart w:id="179" w:name="_Toc513029236"/>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bookmarkEnd w:id="178"/>
      <w:r/>
      <w:bookmarkEnd w:id="179"/>
      <w:r/>
      <w:bookmarkEnd w:id="180"/>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81" w:name="_Toc513029237"/>
      <w:r/>
      <w:bookmarkStart w:id="182" w:name="_Toc16938553"/>
      <w:r/>
      <w:bookmarkStart w:id="183"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8.3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81"/>
      <w:r/>
      <w:bookmarkEnd w:id="182"/>
      <w:r/>
      <w:bookmarkEnd w:id="183"/>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78"/>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w:t>
      </w:r>
      <w:r>
        <w:rPr>
          <w:rFonts w:hint="eastAsia" w:ascii="宋体" w:hAnsi="宋体" w:cs="Times New Roman"/>
          <w:color w:val="000000"/>
          <w:sz w:val="24"/>
          <w:lang w:val="zh-CN" w:eastAsia="zh-CN"/>
        </w:rPr>
        <w:t xml:space="preserve">（</w:t>
      </w:r>
      <w:r>
        <w:rPr>
          <w:rFonts w:hint="eastAsia" w:ascii="宋体" w:hAnsi="宋体" w:eastAsia="宋体" w:cs="Times New Roman"/>
          <w:color w:val="000000"/>
          <w:sz w:val="24"/>
          <w:lang w:val="zh-CN" w:eastAsia="zh-CN"/>
        </w:rPr>
        <w:t xml:space="preserve">含新疆生产建设兵团</w:t>
      </w:r>
      <w:r>
        <w:rPr>
          <w:rFonts w:hint="eastAsia" w:ascii="宋体" w:hAnsi="宋体" w:cs="Times New Roman"/>
          <w:color w:val="000000"/>
          <w:sz w:val="24"/>
          <w:lang w:val="zh-CN" w:eastAsia="zh-CN"/>
        </w:rPr>
        <w:t xml:space="preserve">）</w:t>
      </w:r>
      <w:r>
        <w:rPr>
          <w:rFonts w:hint="eastAsia" w:ascii="宋体" w:hAnsi="宋体" w:eastAsia="宋体" w:cs="Times New Roman"/>
          <w:color w:val="000000"/>
          <w:sz w:val="24"/>
          <w:lang w:val="zh-CN" w:eastAsia="zh-CN"/>
        </w:rPr>
        <w:t xml:space="preserve">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78"/>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878"/>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878"/>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78"/>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78"/>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8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6"/>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513029243"/>
      <w:r/>
      <w:bookmarkStart w:id="186" w:name="_Toc16938559"/>
      <w:r/>
      <w:bookmarkStart w:id="187" w:name="_Hlt16619350"/>
      <w:r/>
      <w:bookmarkStart w:id="188" w:name="_Toc20823346"/>
      <w:r/>
      <w:bookmarkStart w:id="189" w:name="_Toc120614244"/>
      <w:r/>
      <w:bookmarkStart w:id="190" w:name="_Toc16938590"/>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1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3</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0.5%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30%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w:t>
      </w:r>
      <w:r>
        <w:rPr>
          <w:rFonts w:hint="eastAsia" w:ascii="方正黑体_GBK" w:hAnsi="方正黑体_GBK" w:eastAsia="方正黑体_GBK" w:cs="方正黑体_GBK"/>
          <w:b w:val="0"/>
          <w:bCs/>
          <w:color w:val="000000"/>
          <w:sz w:val="24"/>
          <w:szCs w:val="24"/>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4"/>
      <w:r/>
      <w:bookmarkEnd w:id="185"/>
      <w:r/>
      <w:bookmarkEnd w:id="186"/>
      <w:r/>
      <w:r/>
    </w:p>
    <w:p>
      <w:pPr>
        <w:pStyle w:val="913"/>
        <w:keepLines w:val="0"/>
        <w:keepNext w:val="0"/>
        <w:pageBreakBefore w:val="0"/>
        <w:spacing w:before="120" w:after="120" w:line="264" w:lineRule="auto"/>
        <w:widowControl w:val="off"/>
        <w:rPr>
          <w:rFonts w:hint="eastAsia" w:hAnsi="宋体" w:eastAsia="宋体" w:cs="Courier New"/>
          <w:sz w:val="24"/>
          <w:szCs w:val="24"/>
        </w:rPr>
      </w:pPr>
      <w:r/>
      <w:bookmarkStart w:id="193" w:name="_Hlt16619369"/>
      <w:r/>
      <w:bookmarkEnd w:id="193"/>
      <w:r>
        <w:rPr>
          <w:rFonts w:hint="eastAsia" w:hAnsi="宋体" w:eastAsia="宋体" w:cs="Courier New"/>
          <w:sz w:val="24"/>
          <w:szCs w:val="24"/>
        </w:rPr>
        <w:t xml:space="preserve">  </w:t>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1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
    </w:p>
    <w:p>
      <w:pPr>
        <w:ind w:firstLine="482"/>
        <w:keepLines w:val="0"/>
        <w:keepNext w:val="0"/>
        <w:pageBreakBefore w:val="0"/>
        <w:spacing w:line="240"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2"/>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2"/>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2"/>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color w:val="000000"/>
          <w:sz w:val="24"/>
          <w:szCs w:val="24"/>
        </w:rPr>
        <w:t xml:space="preserve">本项目为</w:t>
      </w:r>
      <w:r>
        <w:rPr>
          <w:rFonts w:hint="eastAsia" w:ascii="宋体" w:hAnsi="宋体"/>
          <w:color w:val="000000"/>
          <w:sz w:val="24"/>
          <w:szCs w:val="24"/>
          <w:lang w:val="en-US" w:eastAsia="zh-CN"/>
        </w:rPr>
        <w:t xml:space="preserve">人民中学学生活动实践中心配置相关信息化设备，内容涵盖综合布线、网络系统、广播系统、会议室音视频系统、安防监控系统、物联网系统、教室多媒体等</w:t>
      </w:r>
      <w:r>
        <w:rPr>
          <w:rFonts w:hint="eastAsia" w:ascii="宋体" w:hAnsi="宋体"/>
          <w:color w:val="000000"/>
          <w:sz w:val="24"/>
          <w:szCs w:val="24"/>
        </w:rPr>
        <w:t xml:space="preserve">。</w:t>
      </w:r>
      <w:r/>
    </w:p>
    <w:p>
      <w:pPr>
        <w:ind w:firstLine="482"/>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p>
    <w:p>
      <w:pPr>
        <w:ind w:firstLine="482"/>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p>
    <w:p>
      <w:pPr>
        <w:ind w:firstLine="482"/>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（三）资产配置标准</w:t>
      </w:r>
      <w:r/>
    </w:p>
    <w:p>
      <w:pPr>
        <w:ind w:firstLine="482"/>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符合《南京市市级行政事业单位资产配置标准》、《南京市中小学通用资产配置标准》要求。</w:t>
      </w:r>
      <w:r/>
    </w:p>
    <w:p>
      <w:pPr>
        <w:ind w:firstLine="482"/>
        <w:keepLines w:val="0"/>
        <w:keepNext w:val="0"/>
        <w:pageBreakBefore w:val="0"/>
        <w:spacing w:line="240"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989"/>
        <w:tblW w:w="5152" w:type="pct"/>
        <w:tblInd w:w="-157"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21"/>
        <w:gridCol w:w="2267"/>
        <w:gridCol w:w="737"/>
        <w:gridCol w:w="709"/>
        <w:gridCol w:w="1304"/>
        <w:gridCol w:w="1099"/>
        <w:gridCol w:w="1140"/>
        <w:gridCol w:w="908"/>
        <w:gridCol w:w="1174"/>
      </w:tblGrid>
      <w:tr>
        <w:trPr>
          <w:trHeight w:val="470"/>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22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p>
          <w:p>
            <w:pPr>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单口信息面板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双口信息面板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六类双绞线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6723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米</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2芯皮线光缆</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3360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米</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室内多媒体箱</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单模尾纤</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光纤跳线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12口光纤配线架</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720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12芯室外光缆</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米</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110电话配线架</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50对大对数线缆</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米</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电源线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1025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米</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动力电缆</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米</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楼栋配电箱</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墙面管路预埋</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建筑业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工程</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综合布线系统集成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109</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面板AP</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放装AP</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高密AP</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8口入室POE交换机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16口入室POE交换机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24口POE交换机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核心交换机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无线控制器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无源透明汇聚</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58000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综合网络管理平台</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网络系统设备集成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数字IP广播</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走廊模拟广播</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数字功放（走廊分区）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高考模拟广播</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96</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高考模拟功放</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体育馆模拟广播</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数字功放（体育馆分区）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室内广播线（数字系统）</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米</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室内广播线（高考系统）</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米</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广播系统集成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47</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86寸触控一体机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触控一体机智慧笔</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多媒体集控软件</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6m推拉绿板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多媒体系统集成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110寸触控一体机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会议无线投屏器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一体机移动支架</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网络音频一体机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无线信号拓展器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网络坐席麦克风</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网络POE音柱</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网络吸顶音箱</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主扩扬声器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一体式智能功放</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无线手持话筒</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会议系统辅材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会议系统集成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半球摄像机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78</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枪型摄像机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半球人脸摄像机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枪型人脸摄像机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防拥挤摄像机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篮球场低空鹰眼</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室外低空鹰眼</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顶楼周界检测摄像机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防爆热成像摄像机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可视一键报警按钮</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紧急报警管理机（门卫）</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室外闸机（左机芯）</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室外闸机（右机芯）</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室外闸机（中机芯）</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人脸识别面板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智能门锁</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智能门锁网关</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1920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读卡器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640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单门门禁控制器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双门门禁控制器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单门电磁锁</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把</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双门电磁锁</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把</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出门按钮</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人脸多功能录入仪</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门禁管理系统</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视频存储一体机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人脸智能超脑</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安防一体化平台</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安防平台服务器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UPS主机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蓄电池</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节</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电池柜</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安防系统辅材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安防系统集成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多合一物联网关</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灯光智能控制面板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空调智能数据采集器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情景面板4寸</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情景面板10寸</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窗帘电机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水控电磁流量计</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雨水传感器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走廊智能数据采集器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8路智能照明控制模块</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智能照明编程面板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电源模块</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物联网授权软件</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控制平板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是</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外开推窗器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680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消防联动控制箱</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物联网系统辅材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物联网系统集成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LED显示屏</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平方米</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核心产品</w:t>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LED视频处理器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LED嵌入式软件</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LED安装框架结构</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22.53</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LED控制主机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是</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4进4出HDMI矩阵</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无线投屏器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配电箱及运行控制设备</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LED显示系统辅材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LED显示系统集成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线阵全频扬声器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线阵低频扬声器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线阵专业支架</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辅助扬声器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辅助扬声器功放</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音频处理器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数字调音台</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控制室监听扬声器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专业监听耳机</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只</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无线单手持话筒</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无线领夹话筒</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天线分配器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话筒天线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天线馈线</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一拖四会议方杆麦</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9800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22U机柜</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134</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篮球场扩声系统辅材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135</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篮球场扩声系统集成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136</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LED球场灯</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137</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灯具固定支架</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138</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智能控制系统</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139</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体育记分系统</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140</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裁判控制器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6500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141</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篮球24秒进攻计时器</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142</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照明及记分系统辅材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r>
        <w:trPr>
          <w:trHeight w:val="414"/>
        </w:trPr>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143</w:t>
            </w:r>
            <w:r/>
          </w:p>
        </w:tc>
        <w:tc>
          <w:tcPr>
            <w:tcW w:w="226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照明及记分系统集成</w:t>
            </w:r>
            <w:r/>
          </w:p>
        </w:tc>
        <w:tc>
          <w:tcPr>
            <w:tcW w:w="7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p>
        </w:tc>
        <w:tc>
          <w:tcPr>
            <w:tcW w:w="13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20000</w:t>
            </w:r>
            <w:r/>
          </w:p>
        </w:tc>
        <w:tc>
          <w:tcPr>
            <w:tcW w:w="109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1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p>
        </w:tc>
        <w:tc>
          <w:tcPr>
            <w:tcW w:w="9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p>
        </w:tc>
        <w:tc>
          <w:tcPr>
            <w:tcW w:w="11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p>
        </w:tc>
      </w:tr>
    </w:tbl>
    <w:p>
      <w:pPr>
        <w:ind w:firstLine="482"/>
        <w:keepLines w:val="0"/>
        <w:keepNext w:val="0"/>
        <w:pageBreakBefore w:val="0"/>
        <w:spacing w:line="240" w:lineRule="auto"/>
        <w:widowControl w:val="off"/>
        <w:rPr>
          <w:rFonts w:hint="eastAsia" w:ascii="宋体" w:hAnsi="宋体" w:eastAsia="宋体" w:cs="宋体"/>
          <w:bCs/>
          <w:sz w:val="24"/>
          <w:szCs w:val="24"/>
          <w:lang w:eastAsia="zh-CN"/>
        </w:rPr>
        <w:outlineLvl w:val="9"/>
      </w:pPr>
      <w:r>
        <w:rPr>
          <w:rFonts w:hint="eastAsia" w:ascii="宋体" w:hAnsi="宋体" w:eastAsia="宋体" w:cs="宋体"/>
          <w:bCs/>
          <w:sz w:val="24"/>
          <w:szCs w:val="24"/>
          <w:lang w:val="en-US" w:eastAsia="zh-CN"/>
        </w:rPr>
        <w:t xml:space="preserve">表中属于</w:t>
      </w:r>
      <w:r>
        <w:rPr>
          <w:rFonts w:hint="eastAsia" w:ascii="宋体" w:hAnsi="宋体" w:eastAsia="宋体" w:cs="宋体"/>
          <w:bCs/>
          <w:sz w:val="24"/>
          <w:szCs w:val="24"/>
          <w:lang w:eastAsia="zh-CN"/>
        </w:rPr>
        <w:t xml:space="preserve">政府强制采购节能产品</w:t>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lang w:val="en-US"/>
        </w:rPr>
        <w:t xml:space="preserve">签订合同时提供国家确定的认证机构出具的、处于有效期之内的节能产品认证证书</w:t>
      </w:r>
      <w:r>
        <w:rPr>
          <w:rFonts w:hint="eastAsia" w:ascii="宋体" w:hAnsi="宋体" w:eastAsia="宋体" w:cs="宋体"/>
          <w:bCs/>
          <w:sz w:val="24"/>
          <w:szCs w:val="24"/>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tbl>
      <w:tblPr>
        <w:tblStyle w:val="699"/>
        <w:tblW w:w="10000"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673"/>
        <w:gridCol w:w="7637"/>
      </w:tblGrid>
      <w:tr>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p>
        </w:tc>
        <w:tc>
          <w:tcPr>
            <w:tcW w:w="16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p>
        </w:tc>
        <w:tc>
          <w:tcPr>
            <w:tcW w:w="76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单口信息面板</w:t>
            </w:r>
            <w:r/>
          </w:p>
        </w:tc>
        <w:tc>
          <w:tcPr>
            <w:tcW w:w="763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1.86型单口面板，含模块；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2.六类非屏蔽信息模块，90度；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3.特性：符合ANSI/TIA-568-C.2六类规范；带宽达到250MHz；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4.簧片：磷青铜镀镍（100 u"），可容纳 22-26 AWG 单股和多股线缆，最少250次端接；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5.金针：磷青铜镀镍再镀金（50 u"），最少750次插拔；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6.端接方式：支持T568A和T568B接线方式。</w:t>
            </w:r>
            <w:r/>
          </w:p>
        </w:tc>
      </w:tr>
      <w:tr>
        <w:trPr>
          <w:trHeight w:val="985"/>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双口信息面板</w:t>
            </w:r>
            <w:r/>
          </w:p>
        </w:tc>
        <w:tc>
          <w:tcPr>
            <w:tcW w:w="7637" w:type="dxa"/>
            <w:vAlign w:val="center"/>
            <w:textDirection w:val="lrTb"/>
            <w:noWrap w:val="false"/>
          </w:tcPr>
          <w:p>
            <w:pPr>
              <w:jc w:val="left"/>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1.86型双口面板，含模块；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2.六类非屏蔽信息模块，90度；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3.特性：符合ANSI/TIA-568-C.2六类规范；带宽达到250MHz；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4.簧片：磷青铜镀镍（100 u"），可容纳 22-26 AWG 单股和多股线缆，最少250次端接；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5.金针：磷青铜镀镍再镀金（50 u"），最少750次插拔；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6.端接方式：支持T568A和T568B接线方式。</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六类双绞线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1.导体：23AWG，带宽达到250MHz；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2.芯线：8根芯线采用单股软铜线，每根芯线带有彩色绝缘层；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3.护套：紧护套结构，线对间十字隔离技术。</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2芯皮线光缆</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光纤衰减系数：在1310±10 nm波长上的最大衰减系数为≤0.35dB／km；在1550±20 nm波长上的最大衰减系数为≤0.25dB／km。</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室内多媒体箱</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外形尺寸：500mm*400mm*60mm（长×高×深），壁挂式结构；主体材质：冷轧钢板门板，面板厚度：≥ 0.8mm，箱体主体厚度：≥ 1.0mm冷轧钢板，静电喷塑处理，防腐阻燃；门板可开启检修门，支持定制LOGO</w:t>
            </w:r>
            <w:r/>
          </w:p>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；配套组件含保护插排、安装紧固件、布线附件。</w:t>
            </w:r>
            <w:r/>
          </w:p>
        </w:tc>
      </w:tr>
      <w:tr>
        <w:trPr>
          <w:trHeight w:val="16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单模尾纤</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陶瓷插芯，插销式锁紧，活动连接；适用于LC型适配器；插入损耗：UPC≤0.2dB；回波损耗：UPC≥50dB；环境性能：温度范围：-40℃～+80℃；插拔寿命：≥1000次。</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光纤跳线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2mLC-LC光纤跳线；陶瓷插芯，双8字型独特设计，插销式锁紧，活动连接；适用于LC型适配器；插入损耗：UPC≤0.2dB；回波损耗：UPC≥50dB。</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12口光纤配线架</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12口光纤配线架，含耦合器、尾纤；19英寸机架标准安装；适用于与SC/ST/双联LC/FC等适配器的端接。</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12芯室外光缆</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12芯室外光缆，铠装防水；成缆后光纤衰减系数：在1310ｎｍ波长上的最大衰减系数为：0.35dB／km。在1383nm±3nm波长上的最大衰减值小于1310nm波长上的最大衰减值。在1550nm波长上的最大衰减值不大于0.22dB。</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110电话配线架</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100对110机架式配线架</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含110连接块）；传输频率≥16MHz，卡接24-26AWG缆芯；备有4对/5对110型连接块，安装方便、连接迅速；采用高强度的塑胶与钣金材料；接触电阻：≤10 MΩ；寿命</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插拔</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：≥750次； IDC寿命：≥200次；绝缘强度：AC 1</w:t>
            </w:r>
            <w:r>
              <w:rPr>
                <w:rFonts w:hint="eastAsia" w:ascii="宋体" w:hAnsi="宋体" w:cs="宋体"/>
                <w:bCs/>
                <w:sz w:val="24"/>
                <w:szCs w:val="24"/>
                <w:lang w:val="en-US" w:eastAsia="zh-CN"/>
              </w:rPr>
              <w:t xml:space="preserve">kV</w:t>
            </w:r>
            <w:r>
              <w:rPr>
                <w:rFonts w:hint="eastAsia" w:ascii="宋体" w:hAnsi="宋体" w:eastAsia="宋体" w:cs="宋体"/>
                <w:bCs/>
                <w:sz w:val="24"/>
                <w:szCs w:val="24"/>
                <w:lang w:val="en-US" w:eastAsia="zh-CN"/>
              </w:rPr>
              <w:t xml:space="preserve">，1分钟，无击穿；镀金层厚度：≥50 μ。</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50对大对数线缆</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传输频率≥16MHz；有10对、25对、50对、100对多种规格，全色谱彩色编码绝缘体；外护套为防火标准；电缆护套直径：25对￠11.2mm、50对￠15.5mm、100对￠21.1mm。带卷轴包装。</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电源线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RVV3*2.5mm</w:t>
            </w:r>
            <w:r>
              <w:rPr>
                <w:rFonts w:hint="eastAsia" w:ascii="宋体" w:hAnsi="宋体" w:eastAsia="宋体" w:cs="宋体"/>
                <w:bCs/>
                <w:sz w:val="24"/>
                <w:szCs w:val="24"/>
                <w:vertAlign w:val="superscript"/>
                <w:lang w:val="en-US" w:eastAsia="zh-CN"/>
              </w:rPr>
              <w:t xml:space="preserve">2</w:t>
            </w:r>
            <w:r>
              <w:rPr>
                <w:rFonts w:hint="eastAsia" w:ascii="宋体" w:hAnsi="宋体" w:eastAsia="宋体" w:cs="宋体"/>
                <w:bCs/>
                <w:sz w:val="24"/>
                <w:szCs w:val="24"/>
                <w:lang w:val="en-US" w:eastAsia="zh-CN"/>
              </w:rPr>
              <w:t xml:space="preserve">，国标；芯线规格3芯，每芯标称截面积2.5mm²，第</w:t>
            </w: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t xml:space="preserve">类软无氧铜导体。</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动力电缆</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YJV5*4mm</w:t>
            </w:r>
            <w:r>
              <w:rPr>
                <w:rFonts w:hint="eastAsia" w:ascii="宋体" w:hAnsi="宋体" w:eastAsia="宋体" w:cs="宋体"/>
                <w:bCs/>
                <w:sz w:val="24"/>
                <w:szCs w:val="24"/>
                <w:vertAlign w:val="superscript"/>
                <w:lang w:val="en-US" w:eastAsia="zh-CN"/>
              </w:rPr>
              <w:t xml:space="preserve">2</w:t>
            </w:r>
            <w:r>
              <w:rPr>
                <w:rFonts w:hint="eastAsia" w:ascii="宋体" w:hAnsi="宋体" w:eastAsia="宋体" w:cs="宋体"/>
                <w:bCs/>
                <w:sz w:val="24"/>
                <w:szCs w:val="24"/>
                <w:lang w:val="en-US" w:eastAsia="zh-CN"/>
              </w:rPr>
              <w:t xml:space="preserve">，国标；导体：5芯，每芯标称截面积4mm²，纯铜导体，导电性能优异，电阻达标。</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楼栋配电箱</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t xml:space="preserve">材质：冷轧钢板箱体，门板同材质冷轧钢板，板材厚度≥1.0mm 底板、≥0.8mm门板；结构：壁挂明装 / 暗装结构，可开合箱门，带门锁 / 卡扣，预留进线敲落孔、布线线槽及导轨安装位，导轨为标准DIN导轨，方便装配微型断路器；</w:t>
            </w:r>
            <w:r/>
          </w:p>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总开关：4P微型断路器 规格：4极，C型脱扣曲线，额定电压 400V/50Hz，具备过载、短路保护功能；楼层分支回路空开：1P/2P C16A 微型断路器，C型脱扣曲线，额定电压230/400V，分断能力≥6kA，过载/短路保护；1P/2P C32A 微型断路器，C型脱扣曲线，额定电压230/400V，分断能力≥6kA，过载/短路保护。</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墙面管路预埋</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弱电系统配套墙面管路预埋及恢复，施工单位需根据现场实际情况，按照规范及</w:t>
            </w:r>
            <w:r>
              <w:rPr>
                <w:rFonts w:hint="eastAsia" w:ascii="宋体" w:hAnsi="宋体" w:cs="宋体"/>
                <w:bCs/>
                <w:sz w:val="24"/>
                <w:szCs w:val="24"/>
                <w:lang w:val="en-US" w:eastAsia="zh-CN"/>
              </w:rPr>
              <w:t xml:space="preserve">学校</w:t>
            </w:r>
            <w:r>
              <w:rPr>
                <w:rFonts w:hint="eastAsia" w:ascii="宋体" w:hAnsi="宋体" w:eastAsia="宋体" w:cs="宋体"/>
                <w:bCs/>
                <w:sz w:val="24"/>
                <w:szCs w:val="24"/>
                <w:lang w:val="en-US" w:eastAsia="zh-CN"/>
              </w:rPr>
              <w:t xml:space="preserve">要求，完成弱电管线（含网线、电线、控制线等）墙面暗埋敷设、线盒安装、槽体回填修补等施工内容</w:t>
            </w:r>
            <w:r>
              <w:rPr>
                <w:rFonts w:hint="eastAsia" w:ascii="宋体" w:hAnsi="宋体" w:cs="宋体"/>
                <w:bCs/>
                <w:sz w:val="24"/>
                <w:szCs w:val="24"/>
                <w:lang w:val="en-US" w:eastAsia="zh-CN"/>
              </w:rPr>
              <w:t xml:space="preserve">。</w:t>
            </w:r>
            <w:r/>
          </w:p>
        </w:tc>
      </w:tr>
      <w:tr>
        <w:trPr>
          <w:trHeight w:val="197"/>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综合布线系统集成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以点为单位平均核算点位安装调试费用，包括设备安装、链路测试、信号测试、线缆打标等。</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面板AP</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1.面板型AP，支持嵌入86面板安装方式，支持802.11be标准，采用双射频设计，整机空间流≥4条，整机最大接入速率≥3.57Gbps；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2.2.5G以太网电口上联口≥1个，1G以太网电口下联口≥4个；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3.为响应绿色节能政策，整体功耗≤12W；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4.内置蓝牙5.0或以上协议；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5.支持SSID隐藏，支持为每个SSID配置单独的认证方式、加密机制，VLAN属性；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6.支持基于终端数或流量的智能负载均衡，支持基于STA/SSID/AP的限速；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7.为避免无线网络中私接非法AP，所投AP应支持非法AP检测及反制功能。</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放装AP</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1.支持802.11be标准，采用双射频设计，整机空间流≥4条，整机最大接入速率≥3.57Gbps；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2.支持2.5G以太网接口≥1个，支持5G光口≥1个；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3.支持蓝牙5.0或以上协议；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4.支持SSID隐藏，每个SSID可配置单独的认证方式、加密机制，VLAN属性；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5.支持基于SSID、射频卡的用户数限制；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6.所投AP内置探针功能，能够对覆盖范围的终端MAC信息进行检测；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7.支持基于终端数或流量的智能负载均衡。</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高密AP</w:t>
            </w:r>
            <w:r/>
          </w:p>
        </w:tc>
        <w:tc>
          <w:tcPr>
            <w:tcW w:w="763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1.支持802.11be标准，采用三射频设计，整机支持8条空间流，整机最大无线速率≥6.45Gbps；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2.支持5GHz内外置天线切换；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3.支持1个5G以太网电口和1个1G以太网电口，支持10G光口≥1个；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4.支持蓝牙5.0或以上协议；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5.支持SSID隐藏，每个SSID可配置单独的认证方式、加密机制，VLAN属性；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6.支持基于SSID、射频卡的用户数限制；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7.支持基于终端数或流量的智能负载均衡；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8.支持非法AP检测及反制；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9.支持数据帧过滤功能，支持白名单、静态黑名单、动态黑名单。</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8口入室POE交换机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1.交换容量≥432Gbps，包转发率≥80Mpps；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2.固化10/100/1000M以太网电口≥8个，2.5G/10G SFP+光接口≥1个；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3.要求所投产品支持POE和POE+远程供电，POE供电功率为125W；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4.要求设备采用静音设计，噪声值＜20dB；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5.支持端口浪涌抗扰度≥8</w:t>
            </w:r>
            <w:r>
              <w:rPr>
                <w:rFonts w:hint="eastAsia" w:ascii="宋体" w:hAnsi="宋体" w:cs="宋体"/>
                <w:bCs/>
                <w:sz w:val="24"/>
                <w:szCs w:val="24"/>
                <w:lang w:val="en-US" w:eastAsia="zh-CN"/>
              </w:rPr>
              <w:t xml:space="preserve">kV</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16口入室POE交换机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1.交换容量≥600Gbps，包转发率≥120Mpps；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2.固化10/100/1000M以太网电口≥14个，1G/2.5G/5G/10G以太网电口≥2个，1G/10G SFP+光接口≥2个；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3.要求所投产品支持POE和POE+远程供电，POE供电功率≥250W；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4.要求设备采用静音设计，噪声值＜20dB；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5.支持端口浪涌抗扰度≥8</w:t>
            </w:r>
            <w:r>
              <w:rPr>
                <w:rFonts w:hint="eastAsia" w:ascii="宋体" w:hAnsi="宋体" w:cs="宋体"/>
                <w:bCs/>
                <w:sz w:val="24"/>
                <w:szCs w:val="24"/>
                <w:lang w:val="en-US" w:eastAsia="zh-CN"/>
              </w:rPr>
              <w:t xml:space="preserve">kV</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24口POE交换机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1.交换容量≥600Gbps，包转发率≥120Mpps；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2.固化1G以太网电口≥24个，1000M/2.5G SFP千兆光接口≥4个；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3.支持POE和POE+，同时可POE供电端口≥24个，POE最大输出功率≥370W；</w:t>
            </w:r>
            <w:r/>
          </w:p>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4.设备采用降噪设计，整机噪声≤39dB；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5.支持端口浪涌抗扰度≥10</w:t>
            </w:r>
            <w:r>
              <w:rPr>
                <w:rFonts w:hint="eastAsia" w:ascii="宋体" w:hAnsi="宋体" w:cs="宋体"/>
                <w:bCs/>
                <w:sz w:val="24"/>
                <w:szCs w:val="24"/>
                <w:lang w:val="en-US" w:eastAsia="zh-CN"/>
              </w:rPr>
              <w:t xml:space="preserve">kV</w:t>
            </w:r>
            <w:r>
              <w:rPr>
                <w:rFonts w:hint="eastAsia" w:ascii="宋体" w:hAnsi="宋体" w:eastAsia="宋体" w:cs="宋体"/>
                <w:bCs/>
                <w:sz w:val="24"/>
                <w:szCs w:val="24"/>
                <w:lang w:val="en-US" w:eastAsia="zh-CN"/>
              </w:rPr>
              <w:t xml:space="preserve">（即具备10</w:t>
            </w:r>
            <w:r>
              <w:rPr>
                <w:rFonts w:hint="eastAsia" w:ascii="宋体" w:hAnsi="宋体" w:cs="宋体"/>
                <w:bCs/>
                <w:sz w:val="24"/>
                <w:szCs w:val="24"/>
                <w:lang w:val="en-US" w:eastAsia="zh-CN"/>
              </w:rPr>
              <w:t xml:space="preserve">kV</w:t>
            </w:r>
            <w:r>
              <w:rPr>
                <w:rFonts w:hint="eastAsia" w:ascii="宋体" w:hAnsi="宋体" w:eastAsia="宋体" w:cs="宋体"/>
                <w:bCs/>
                <w:sz w:val="24"/>
                <w:szCs w:val="24"/>
                <w:lang w:val="en-US" w:eastAsia="zh-CN"/>
              </w:rPr>
              <w:t xml:space="preserve">的防雷能力）；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6.支持IPv4和IPv6的静态路由、RIP/RIPng、OSPFv2/OSPFv3等三层路由协议；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7.支持生成树协议STP</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IEEE 802.1d），RSTP</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IEEE 802.1w）和MSTP</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IEEE 802.1s</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核心交换机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1.交换容量≥100Tbps，包转发率≥76000Mpps；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2.主控引擎与业务板卡完全物理分离，采用全分布式转发处理架构，独立主控引擎插槽≥2个，独立业务插槽数≥6个；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3.设备支持硬件健康状态可视化，可以对风扇状态、电源、温度、板载电压进行监控，尤其是在日常巡查中发现电压异常前兆，可及时处理，避免出现电压异常宕机；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4.为提高设备面板空间利用率，要求采用高密度端口设计，整机转发业务物理端口≥312个；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5.N:1虚拟化：可将2台物理设备虚拟化为1台逻辑设备，虚拟组内设备具备统一的二层及三层转发表项，统一的管理界面，并可实现跨设备链路聚合；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6.支持VXLAN二三层分布式网关，支持EVPN，支持VXLAN双活；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▲7.支持基础安全保护策略，可实现ARP等各种攻击的自动防御，保护系统各种服务的正常运行（</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8.支持基于GRPC的Telemetry技术，实现对CPU、内存等信息的周期性采集；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配置双引擎、冗余电源、提供千兆电口≥24个，千兆光口≥8个，万兆光口≥8个、具备至少125台光接入设备通过至少2.5G自适应以太网光口独享通信的互联光接口（含48台设备所需双边配套光模块及所需配套设备）、实配不少于2块10G单模光模块。</w:t>
            </w:r>
            <w:r/>
          </w:p>
        </w:tc>
      </w:tr>
      <w:tr>
        <w:trPr>
          <w:trHeight w:val="91"/>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无线控制器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1.固化千兆电口数≥8；固化千兆光口数≥2个，固化万兆光口数≥2个；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2.802.11转发性能≥10G；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3.最大可支持管理512个AP；</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4.要求设备可配置AP的本地数据转发技术模式；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5.支持访客通过二维码授权的方式接入无线网络；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w:t>
            </w:r>
            <w:r>
              <w:rPr>
                <w:rFonts w:ascii="宋体" w:hAnsi="宋体" w:eastAsia="宋体" w:cs="宋体"/>
                <w:sz w:val="24"/>
                <w:szCs w:val="24"/>
              </w:rPr>
              <w:t xml:space="preserve">设备支持 AP 本地数据转发功能，基于 SSID、用户VLAN策略灵活配置数据转发模式，支持两种转发机制：数据经无线 AC 集中转发、数据由 AP 直接本地转发至有线</w:t>
            </w:r>
            <w:r>
              <w:rPr>
                <w:rFonts w:hint="eastAsia" w:ascii="宋体" w:hAnsi="宋体" w:eastAsia="宋体" w:cs="宋体"/>
                <w:sz w:val="24"/>
                <w:szCs w:val="24"/>
                <w:lang w:eastAsia="zh-CN"/>
              </w:rPr>
              <w:t xml:space="preserve">网络</w:t>
            </w:r>
            <w:r>
              <w:rPr>
                <w:rFonts w:hint="eastAsia" w:ascii="宋体" w:hAnsi="宋体" w:cs="宋体"/>
                <w:sz w:val="24"/>
                <w:szCs w:val="24"/>
                <w:lang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7.设备支持 airplay 投影防串流功能；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8.设备支持 802.11R快速漫游，提升漫游体验；</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9.无线控制器具备AP逃生功能，当AC不可达造成AP离线时，离线的AP能够继续维持已经接入的终端业务正常，提升无线网络的可靠性；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10.配置本项目所需无线管理授权，能够纳管已有无线AP。</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无源透明汇聚</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1.波分设备的各通道间要求实现物理隔离；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2.要求支持集中机柜安装、交换设备线槽安装、壁挂等安装方式；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3.要求完全无源，无需插电即可正常工作；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4.要求光模块的工作波长在1271nm~1571nm范围内；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5.要求配置端口数≥16个；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★6.提供波分设备上架所需配件：上端40G超聚合彩光模块*3套、下端2.5G彩光模块*42个。</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综合网络管理平台</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1.室内交换机支持零配置上线，根据不同区域的业务创建相应业务模板后，绑定设备区域位置信息，设备开箱上电后配置即可自动从软件下发，无需在接入设备端刷入配置；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2.支持通过excel批量导入、基于楼栋交换机端口两种方式绑定设备区域位置管理资产信息，适应不同工程厂商在网络开局阶段的工作流程，提供高效的资产登记和网络规划方案；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3.支持创建交换机的业务模板，支持图形化界面提前规划各端口业务；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4.当室内交换机出现故障，支持替换用新设备的零配置替换，新设备上电后配置自动下发，无需手动配置；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5.当室内交换机出现故障，替换用的新设备支持智能零替换，支持自适应不同型号间的设备替换，以及替换后新设备支持终端在任意端口接入，并且终端在原有设备接入端口的配置可自动跟随到新设备端口；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6.支持光模块与光链路运维检测与故障告警，可查看详细信息，包括告警原因分析与处理建议；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7.配置管理授权数≥500个。</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网络系统设备集成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以点为单位平均核算点位安装调试费用，包括设备安装、设备调试等。</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数字IP广播</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1.内置10W全频扬声器，具有一路辅助功放输出端子，可外接定阻式音箱1只（4—16欧，20W以内功率）；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2.具有话筒输入接口,话筒具有强插功能；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3.网络接口:标准10M/100M网口2个,升级口1个；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4.支持协议:TCP/IP,UDP,IGMP,FTP,ICMP,ARP,支持跨网关跨路由配置,具有脱机功能；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5.音频格式:PCM</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无压缩格式</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,ADPCM,MP3,WAV,OGG；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6.待机:无信号3分钟自动待机,待机时间可自设；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7.断网重启时间:≤1秒；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8.网络延时:文件播放≤50ms,寻呼广播≤5ms,具有自动缓存功能；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9.传输速率:10/100Mbps。</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走廊模拟广播</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1.功率：20W；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2.输入电压：100V；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3.灵敏度:93dB；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4.频率响应:120~18000Hz。</w:t>
            </w:r>
            <w:r/>
          </w:p>
        </w:tc>
      </w:tr>
      <w:tr>
        <w:trPr>
          <w:trHeight w:val="1981"/>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数字功放（走廊分区）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1.网络接口:标准10M/100M网口2个,升级口1个；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2.支持协议:TCP/IP,UDP,IGMP,FTP,ICMP,ARP,支持跨网关跨路由配置,具有脱机功能；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3.音频格式:PCM</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无压缩格式</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,ADPCM,MP3,WAV,OGG；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4.频道数:30路,可自设；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5.待机:无信号3分钟自动待机,待机时间可自设；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6.网络延时:文件播放≤50ms,寻呼广播≤5ms,具有自动缓存功能；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7.电压检测:AC180V-250V,超量程断输出并报警；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8.断网重启时间:≤1秒；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9.传输速率:10/100Mbps；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10.额定功率:300W。</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高考模拟广播</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1.额定/最大功率:10W/20W；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2.输入电压:100V；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3.灵敏度:88dB；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4.频率响应:80~16000Hz；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5.喇叭单元:6.5＂。</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高考模拟功放</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1.70V/100V定压,4-16Ω定阻输出；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2.自动双速温控风机强制冷却散热；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3.具有线路输出功能,方便多台功放并接；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4.线路输入:1V；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5.频响:20Hz~20KHz；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6.谐波失真:≤0.1%@ 1KHz；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7.信噪比:＞95dB；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8.额定输出:300W。</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体育馆模拟广播</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1.额定/最大功率:40W/80W；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2.输入电压:70V/100V；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3.灵敏度:105dB；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4.频率响应:80-16000Hz；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5.喇叭单元:8＂×1 3.5＂×1。</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数字功放（体育馆分区）</w:t>
            </w:r>
            <w:r/>
          </w:p>
        </w:tc>
        <w:tc>
          <w:tcPr>
            <w:tcW w:w="763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1.网络接口:标准10M/100M网口2个,升级口1个；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2.支持协议:TCP/IP,UDP,IGMP,FTP,ICMP,ARP,支持跨网关跨路由配置,具有脱机功能；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3.音频格式:PCM</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无压缩格式</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,ADPCM,MP3,WAV,OGG；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4.频道数:30路,可自设；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5.待机:无信号3分钟自动待机,待机时间可自设；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6.网络延时:文件播放≤50ms,寻呼广播≤5ms,具有自动缓存功能；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7.电压检测:AC180V-250V,超量程断输出并报警；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8.断网重启时间:≤1秒；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9.传输速率:10/100Mbps；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10.额定功率:300W。</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室内广播线（数字系统）</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RVV2*1.5mm</w:t>
            </w:r>
            <w:r>
              <w:rPr>
                <w:rFonts w:hint="eastAsia" w:ascii="宋体" w:hAnsi="宋体" w:eastAsia="宋体" w:cs="宋体"/>
                <w:bCs/>
                <w:sz w:val="24"/>
                <w:szCs w:val="24"/>
                <w:vertAlign w:val="superscript"/>
                <w:lang w:val="en-US" w:eastAsia="zh-CN"/>
              </w:rPr>
              <w:t xml:space="preserve">2</w:t>
            </w:r>
            <w:r>
              <w:rPr>
                <w:rFonts w:hint="eastAsia" w:ascii="宋体" w:hAnsi="宋体" w:eastAsia="宋体" w:cs="宋体"/>
                <w:bCs/>
                <w:sz w:val="24"/>
                <w:szCs w:val="24"/>
                <w:lang w:val="en-US" w:eastAsia="zh-CN"/>
              </w:rPr>
              <w:t xml:space="preserve">，国标。</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室内广播线（高考系统）</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RVV2*1.5mm</w:t>
            </w:r>
            <w:r>
              <w:rPr>
                <w:rFonts w:hint="eastAsia" w:ascii="宋体" w:hAnsi="宋体" w:eastAsia="宋体" w:cs="宋体"/>
                <w:bCs/>
                <w:sz w:val="24"/>
                <w:szCs w:val="24"/>
                <w:vertAlign w:val="superscript"/>
                <w:lang w:val="en-US" w:eastAsia="zh-CN"/>
              </w:rPr>
              <w:t xml:space="preserve">2</w:t>
            </w:r>
            <w:r>
              <w:rPr>
                <w:rFonts w:hint="eastAsia" w:ascii="宋体" w:hAnsi="宋体" w:eastAsia="宋体" w:cs="宋体"/>
                <w:bCs/>
                <w:sz w:val="24"/>
                <w:szCs w:val="24"/>
                <w:lang w:val="en-US" w:eastAsia="zh-CN"/>
              </w:rPr>
              <w:t xml:space="preserve">，国标。</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广播系统集成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以点为单位平均核算点位安装调试费用，包括设备安装、设备调试、链路测试、信号测试、线缆打标、平台规划等。</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86寸触控一体机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1.整机边角采用弧形设计，边框支持磁吸功能，可吸附具备磁吸功能的书写笔；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2.屏幕采用≥86英寸液晶显示器，分辨率≥3840×2160；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3.整机采用≥12核国产化嵌入式芯片，CPU≥8核，主频≥1.6GHz，内存≥2GB，存储空间≥32GB；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4.采用红外触控方式，支持≥50点触控；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▲5.整机内置2.2声道扬声器，最大功率≥80W（</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6.支持AI空间感知音效，可通过内置麦克风采集教室物理环境声音，自动生成符合当前教室物理环境的频段、音量、音效；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7.整机上边框内置摄像头，支持拍摄≥1600 万像素数的照片和视频，支持输出 4k 分辨率的视频，视场角≥120度；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8.接口：HDMI IN≥2，USB 3.0≥2，USB Type-C ≥1，TOUCH 2.0≥1，AUDIO OUT≥1，RS232≥1；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9.内置双Wi-Fi6无线网卡，支持802.11a/b/g/n/ac/ax，工作频率 2.4GHz/5GHz，工作距离≥12m；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10.内置OPS电脑模块采用按压式卡扣，CPU主频≥2.0GHz，不低于8核心十二线程；内存≥16G，固态硬盘≥512GB。</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触控一体机智慧笔</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1.笔身配置≥5个按键，具备上下翻页，智能语音，远程聚光灯/放大，书写颜色切换，兼顾触摸书写以及远程操控的握持姿态；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2.采用锥形笔尖设计，直径≤3mm；同时支持电容，红外触控设备书写，书写最小精度2mm，连续书写距离不小于7km；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3.短按上下翻页按键，可实现白板软件/ppt/pdf等文档上下翻页；长按上下翻页按键3s，可实现ppt播放/退出；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4.内置麦克风，支持按键唤醒语音识别功能，避免杂音造成误唤醒；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5.支持唤醒语音识别时，可直接通过语音打开已安装的应用，可直接通过语音调用网络搜索引擎搜索查询相应资料，可进行语音转写输入；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6.支持白板软件内，通过语音控制：切换书写、擦除、选择模式，最小化返回桌面，打开板中板，清空书写批注等操作；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7.连接距离≥12m，上下翻页/语音控制/远程批注实现距离≥12m，覆盖标准教室；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8.内置锂电池，支持type-c充电，待机时间≥60h，连续书写时间≥8h；</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9.支持智能休眠节电，当设备&gt;5min无人操作时，设备自动进入休眠节电模式。</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多媒体集控软件</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1.设计架构：系统采用模块化的架构设计B/S架构，通过浏览器打开并用微信扫码登录、账号密码登录和微信授权登录完成鉴权；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2.提供个性化工作台自定义功能，在工作台配置页面，可通过拖拉拽可视化配置组件的方式，完成个性化工作台的配置；工作台可配置组件数量不小于30个；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3.系统管理员：提供组织管理员管理功能，包括：管理员添加、移除和转移，同时支持设置管理员的管理权限，包括：组织管理，系统管理员管理，角色权限等；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4.角色权限：支持学校自定义角色组，针对角色可设置功能权限；支持自定义角色下对应成员的管理范围；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5.支持自定义设备类型及数量，掌握校内设备资产分布情况；支持查看本校常用软件、设备网络负载、硬件负载情况，并提供网络优化、硬件升级指南；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6.支持同时查看不少于20个教室的实时摄像头画面、设备屏幕画面；支持远程发送文本消息、语音消息；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7.支持掌上看班服务，拥有掌上看班权限的老师可在移动端实时巡班，并进行基础远程管控；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8.支持远程批量清理设备磁盘；支持清理指定磁盘的指定文件夹；支持清理系统盘备份、缓存、日志等文件；支持迁移系统盘视频、图片、音乐、文档文件；支持格式化非系统盘磁盘；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9.支持远程向已冰冻的设备发送指令、安装软件，在设备正常关机时触发穿透动作，穿透完成后，设备即可使用已安装软件、执行已接收指令，且穿透过程中无需人为解冻；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10.支持AI自动监测设备画面色情、恐怖、暴力、游戏等风险内容或元素；支持设置警告内容，当监测到不良画面后自动提醒；支持将每天监测到的风险结果自动推送提醒管理；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11.支持信息发布功能，支持设置按照每周循环播放、指定日期播放、自定义日期播放≥3种节目播放机制。</w:t>
            </w:r>
            <w:r/>
          </w:p>
        </w:tc>
      </w:tr>
      <w:tr>
        <w:trPr>
          <w:trHeight w:val="471"/>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6m推拉绿板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1.结构：尺寸：≥6000mm×1300mm，可根据所配电子产品适当调整，三块组合设计中，两块固定一块滑动；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2.内板：采用镀锌烤漆钢板，墨绿色，亚光，板面厚度≥0.4mm,涂层硬度≥9H无痕（莫氏）；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3.黑板滑轮：上轨采用减震消音双组吊轮，滑轮使用高精度轴承，下轨采用双组水平滑块，保证滑动流畅、噪音小；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4.边框：采用高级香槟色铝合金，模具挤压一次成型，上框规格57 mm×100 mm，下框及左右框规格29 mm×100 mm，厚度≥1.2mm。</w:t>
            </w:r>
            <w:r/>
          </w:p>
        </w:tc>
      </w:tr>
      <w:tr>
        <w:trPr>
          <w:trHeight w:val="91"/>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多媒体系统集成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以套为单位平均核算点位安装调试费用，包括设备安装、设备调试等。</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110寸触控一体机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1.整机屏幕≥110英寸液晶屏，显示比例16:9,分辨率≥3840×2160；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2.接口具备≥3路HDMI IN，≥5路USB口</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至少包含2路USB3.0</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，≥1路TYPE-C接口，≥1路RJ45 IN，≥1路RS232，≥1路AUDIO OUT，≥1路RJ45 OUT；</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3.嵌入式系统CPU8≥核，主频≥2.1GHz，内存≥8GB，存储空间≥128GB；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4.采用红外触控技术，支持≥20点或以上触控；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5.全通道4K显示整机支持全通道4K显示，全通道OSD菜单及整机内置系统均支持4K图像显示；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6.智能亮度调节整机能感应并自动调节屏幕亮度来达到在不同光照环境下的不同亮度显示效果，此功能可自行开启或关闭；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7.内置2.1声道扬声器，额定总功率≥50W。内置8阵列麦克风，支持回声消除、背景噪音抑制和增益补偿；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8.内置摄像头整机上边框内置非独立摄像头，可拍摄≥4800万像素数的照片，可拍摄输出4K分辨率的视频；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9.前置物理按键≤1个，支持交互一体机待机、开关机；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10.内置网卡整机无需外接无线网卡，在Android和Windows系统下可实现Wi-Fi无线上网连接、AP无线热点发射和BT蓝牙连接功能；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11.无线功能Wi-Fi和AP热点工作距离≥12m，蓝牙整机支持蓝牙≥Bluetooth 5.2标准；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12.内置传屏接收模块，整机不需要连接任何附加设备，可实现外部电脑、手机设备的音视频信号实时传输到整机上；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13.Wi-Fi整机内置双Wi-Fi6无线网卡（不接受外接），在Android和Windows系统下，可实现Wi-Fi无线上网连接、AP无线热点发射；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14.Wi-Fi及AP热点Wi-Fi及AP热点支持频段2.4GHz/5GHz；Wi-Fi版本无线网络支持Wi-Fi6；</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15.内置OPS电脑模块，CPU主频≥2.0GHz，不低于8核心十二线程；内存≥16G，固态硬盘≥512GB。</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会议无线投屏器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1.支持外部电脑音视频信号实时传输到触摸一体机上，且支持触摸回传；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2.支持操作系统：Win7/Win8/Win8.1/Win10/Win11/Mac OS10.13及以上，传输延迟≤120ms；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3.采用单按键设计，只需按一下即可传屏，无需在智能平板上做任何操作；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4.支持仅对一个窗口进行无线投屏，其他窗口内容不做展示，避免如微信弹窗的影响；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5.传屏之后，支持触摸回传控制，勿扰模式，暂停投屏等设置；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6.传屏开启勿扰模式之后，不允许其他人在进行传屏，沉浸模式，避免在使用过程中，用户经常被其他人传屏顶替掉，造成使用中断；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7.可通过传屏工具栏暂停投屏功能进行画面冻结暂停，投屏电脑可自主进行其他操作，不影响整机的冻结画面内容显示。</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一体机移动支架</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1.移动支架通过防倾斜实验，正负10度倾斜角度下不能翻倒；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2.承挂≥100kg，壁挂高度可调；整体高度≥1597mm；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3.托盘承重25KG，模具设置U型置物槽，方便触摸笔、遥控器等物品放置；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4.支撑立杆采用壁厚≥1.8mm方通冷轧钢材质，表面黑色喷涂；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5.脚轮为万向轮，聚氨酯（PU）材质，均带脚刹，直径不小于∮75mm；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6.脚轮中心距横向≥1115mm，纵向≥627mm。</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网络音频一体机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1.内置不少于450W电源模块，用于给网络POE音柱、有线手拉手麦克风等设备供电；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2.内置不少于6路90W的POE++网口，不少于1路30W的POE网口，不少于1路RJ45网口；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3.单台设备支持带载199个有线麦克风，单台设备支持带载199个网络音柱/POE天花喇叭；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4.设备内置有线会议主机、音频处理器、功放等功能，支持一台设备实现拾、调音、扩音三大功能；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5.支持32进24出网络音频处理能力；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6.内置自动混音台，包括混音和自动混音功能，还具备混音分量控制功能，同时具备反馈消除、回声消除、噪声消除模块；支持同时开24支麦克风发言，且无啸叫等异常现象；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7.支持联动摄像机，实现摄像跟踪功能，声音画面同步；支持对接同品牌会议一体机，联动AI会议，实现智能撰写，实时翻译等功能；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8.支持开启和结束麦克风、扬声器的配对功能；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9.内置 NTP 时间校准服务器，可实时校准时间；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▲10.支持OTA固件升级，可实现设备固件更新，支持日志导出功能，可快速排查异常（</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无线信号拓展器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1.AES67网络音频，低延时高保真；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2.2.4G+U段双频备份：2.4G 与U段双频实时互备，自动切换抗干扰；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3.多向灵活吊挂：支持天花板、墙面、桌底多方位安装，适配演播厅、会议室等多场景，安装简便；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4.双模式供电：支持POE网线供电（最远100米）与适配器供电，部署便捷，适配全场景，稳定可靠；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5.无线手拉手：大容量高并发199支麦克风同时连接，6人可同时发言，先进先出自动切换，会议沟通流畅无冲突；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6.系统自动配对：设备开机后无需人工调试，自动完成配对连接。</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网络坐席麦克风</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1.心型指向性麦克风，支持精准补助正前方声音，有效屏蔽侧面与后方杂音；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2.高灵敏度收音，支持50cm理想拾音距离，声音清晰还原；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4.采用电池供电,内置标准Type-C充电接口；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5.支持系统自动配对功能，设备开机后可自动连接配对，缩短调试时间；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6.支持按键复位功能，底座预置卡扣，可快速固定桌面，且方便拆卸。</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网络POE音柱</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1.采用金属材质箱体，磁吸式声学金属网；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2.功率≥50W；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3.支持POE传输，一根网线，即插即用；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4.采用网络音频协议，低延时，高保真；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5.支持复位按键，设备快速调试与排除故障。</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网络吸顶音箱</w:t>
            </w:r>
            <w:r/>
          </w:p>
        </w:tc>
        <w:tc>
          <w:tcPr>
            <w:tcW w:w="763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1.功率≥30W；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2.支持网络音频传输协议；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3.声源类型：面声源；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4.采用双跑道型低音单元与20芯高音单元结合，音质通透亮丽，人声表现力突出；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5.配置壁挂安装支架，与墙面贴合安装。</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主扩扬声器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1.系统类型：两分频，低频反射式；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2.扬声器单元：≥1 x 6.5英寸低音单元，2 x 3寸高音单元；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3.频率响应</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±3 dB</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：70 Hz –16k 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4.灵敏度:≥ 87 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5.额定阻抗:8欧姆；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6.最大声压级: 113dB；（峰值）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7.额定功率:≥ 100W；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8.峰值功率：≥400W。</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一体式智能功放</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1.输出功率不小于：8 Ohm  2*350W；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2.彩色2.8寸显示屏，亮度可调节；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3.内置不少于 2 路 UHF 无线麦克风和 1 路有线麦克风输入；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4.支持蓝牙和 USB 播放；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5.内置语言混响效果；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6.32位DSP音频数字信号处理；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7.自动反馈抑制，多级可调；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8.自动闪避和自动增益；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9.RCA输入阻抗≥10KΩ</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10.话筒通道和音乐通道均内置有7段参量均衡；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11.RCA输入输出电平调整；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12.自动反馈抑制：可避免话筒啸叫现象，提高一定的话筒增益；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13.自动闪避：现场在播放背景音乐的同时，演讲者开始用麦克风时，背景音乐就自动将背景音量压低；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14.自动增益：开启自动增益后，演讲者的麦克风音量会固定在一定的范围之内。</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无线手持话筒</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1.无线可充电手持/颈挂麦克风；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2.调制方式 ：FM；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3.麦克风类型：驻极体电容麦克风；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4.电源：DC5V 1A；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5.频率响应： 70 Hz ~ 14 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6.载波频率： 645.25 MHz ~ 684.25 MHz；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7.指向性：心型；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8.蓄电池容量：700 mAh S/NR &gt; 70 dBA；</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9.麦克风持续时间：超过 4 小时；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10.接口：USB-C 充电、3.5 mm 插孔，可用于辅助音频输入；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11.显示：LCD；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12.传输范围 ≥ 15 m；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13.含原厂配套底座。</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会议系统辅材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含音频线、网线、线管、线槽等。</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会议系统集成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以间为单位平均核算安装调试费用，包括设备安装、设备调试、链路测试、信号测试、线缆打标、平台规划等。</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半球摄像机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1.400万星光海螺型网络摄像机；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2.最高分辨率可达2688 × 1520 @25 fps，在该分辨率下可输出实时图像；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3.支持Smart侦测：10项事件检测；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4.支持背光补偿，强光抑制，3D数字降噪，120 dB宽动态适应不同场景；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5.采用高效阵列红外灯，使用寿命长，红外照射距离最远可达30 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6.1个内置麦克风；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7.符合IP66防尘防水</w:t>
            </w:r>
            <w:r>
              <w:rPr>
                <w:rFonts w:hint="eastAsia" w:ascii="宋体" w:hAnsi="宋体" w:cs="宋体"/>
                <w:bCs/>
                <w:sz w:val="24"/>
                <w:szCs w:val="24"/>
                <w:lang w:val="en-US" w:eastAsia="zh-CN"/>
              </w:rPr>
              <w:t xml:space="preserve">要求</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枪型摄像机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1.400万全彩筒型网络摄像机；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2.最高分辨率可达2560 × 1440 @25 fps，在该分辨率下可输出实时图像；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3.智能侦测：支持越界侦测，区域入侵侦测；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4.支持背光补偿，强光抑制，3D数字降噪，120 dB宽动态适应不同视频环境；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5.1个内置麦克风；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6.支持白光/红外双补光，红外光最远可达50 m，白光最远可达30 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7.符合IP67防尘防水</w:t>
            </w:r>
            <w:r>
              <w:rPr>
                <w:rFonts w:hint="eastAsia" w:ascii="宋体" w:hAnsi="宋体" w:cs="宋体"/>
                <w:bCs/>
                <w:sz w:val="24"/>
                <w:szCs w:val="24"/>
                <w:lang w:val="en-US" w:eastAsia="zh-CN"/>
              </w:rPr>
              <w:t xml:space="preserve">要求</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半球人脸摄像机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1.400万半球摄像机，采用1/1.8"背照式传感器；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2.人脸抓拍模式：支持对不同目标进行检测、抓拍，最多同时检测30张，支持快速抓拍模式和优选抓拍模式，支持去误报和去重；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智能模式：越界侦测，区域入侵侦测，进入/离开区域侦测，徘徊侦测，人员聚集侦测，快速运动侦测，停车侦测，物品遗留/拿取侦测，场景变更侦测，音频陡升/陡降侦测，音频有无侦测，虚焦侦测。其中越界侦测，区域入侵侦测，进入/离开区域侦测为深度学习算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4.人数统计模式：a</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人员统计：支持实时报警，人数变化报警和拥堵等级变化报警，并支持人数异常和停留时间异常报警，b</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异常行为检测：支持离岗检测，以及在离岗检测报警，c</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区域关注度：支持区域人数检测、停留时长检测、实时数据上传，并支持区域人数分析和队列状态分析展示，d</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热度图：支持设备上报和平台查询方式获取信息；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5.图像相关：支持200万像素 @60 fps实时帧率，图像更流畅；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6.宽动态：支持宽动态范围达120 dB，适合逆光环境监控；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7.接口功能：内置MicroSD/MicroSDHC/MicroSDXC插槽，最大支持 512 GB；支持10 M/100 M自适应网口。</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枪型人脸摄像机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1.400万枪型摄像机，可输出30 fps实时图像，图像更流畅，支持透雾、电子防抖，支持宽动态120 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2.人脸抓拍模式：支持对运动人脸进行检测、抓拍，最多同时检测30张，支持快速抓拍模式和优选抓拍模式；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3.人数统计模式：a</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人员统计：支持实时报警，人数变化报警和拥堵等级变化报警，并支持人数异常和停留时间异常报警，b</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异常行为识别：支持离岗检测，以及离岗检测报警，c</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区域关注度：支持区域人数检测、停留时长检测、实时数据上传，并支持区域人数分析和队列状态分析展示；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4.设备内置2个麦克风，内置1个扬声器，支持语音对讲；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5.支持标准的512 GB MicroSD/MicroSDHC/MicroSDXC卡存储，支持10 M/100 M自适应网口；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6.支持三码流技术，支持同时20路取流；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7.防护等级：IP67；</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8.支持开启、关闭智能文搜功能，功能开启后，设备可上传目标场景图片及目标信息，目标信息包括出现的时间、目标类别、在视场中的位置。</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防拥挤摄像机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1.400万拥挤防范摄像机；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2.智能侦测：人员密度检测，支持阈值自定义配置，超阈值报警； 报警的同时有语音友好提示，语言内容适用于楼梯和场馆；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3.支持1.5 TOPS算力、60 MB系统内存、400 MB智能内存、2 GB eMMC存储资源共享；</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4.最高分辨率可达2560×1440 @25 fps，在该分辨率下可输出实时图像；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5.支持背光补偿，强光抑制，3D数字降噪，120 dB宽动态，适应不同环境；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6.支持白光/红外双补光，红外光最远可达50 m，白光最远可达30 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7.支持多种事件检测和异常侦测，支持智能警戒，支持联动声音报警；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8.支持H.265/H.264/MJPEG视频压缩算法，支持多级别视频质量配置、编码复杂度设置；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9.1个内置麦克风，1个内置扬声器，支持双向语音对讲；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10.符合IP66防尘防水</w:t>
            </w:r>
            <w:r>
              <w:rPr>
                <w:rFonts w:hint="eastAsia" w:ascii="宋体" w:hAnsi="宋体" w:cs="宋体"/>
                <w:bCs/>
                <w:sz w:val="24"/>
                <w:szCs w:val="24"/>
                <w:lang w:val="en-US" w:eastAsia="zh-CN"/>
              </w:rPr>
              <w:t xml:space="preserve">要求</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篮球场低空鹰眼</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1.3200W低空全景拼接红外摄像机；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2.支持全景模式，支持4个通道独立出图；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3.支持IP67防护，支持防暴等级IK10；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4.传感器类型：1/1.8"CMOS；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5.最大图像尺寸：8160 × 3616；</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6.最低照度：彩色：0.009 Lux @（F1.2，AGC ON）；</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7.黑白：0.0009 Lux @（F1.2，AGC ON），0 Lux with IR；</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8.宽动态：数字宽动态；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9.调节角度：水平：0~355°，垂直：0~90°；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10.焦距&amp;视场角：2.8 mm × 4 @F1.6，水平视场角：180°，垂直视场角：90°；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11.补光灯类型：红外灯；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12.补光距离：最远可达20 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13.图像采集模块由4个800W图像传感器、4个镜头、4个红外灯构成。</w:t>
            </w:r>
            <w:r/>
          </w:p>
        </w:tc>
      </w:tr>
      <w:tr>
        <w:trPr>
          <w:trHeight w:val="284"/>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室外低空鹰眼</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1.800万180°中低空无盲区球型鹰眼</w:t>
            </w:r>
            <w:r>
              <w:rPr>
                <w:rFonts w:hint="eastAsia" w:ascii="宋体" w:hAnsi="宋体" w:cs="宋体"/>
                <w:bCs/>
                <w:sz w:val="24"/>
                <w:szCs w:val="24"/>
                <w:lang w:val="en-US" w:eastAsia="zh-CN"/>
              </w:rPr>
              <w:t xml:space="preserve"> </w:t>
            </w:r>
            <w:r>
              <w:rPr>
                <w:rFonts w:hint="eastAsia" w:ascii="宋体" w:hAnsi="宋体" w:eastAsia="宋体" w:cs="宋体"/>
                <w:bCs/>
                <w:sz w:val="24"/>
                <w:szCs w:val="24"/>
                <w:lang w:val="en-US" w:eastAsia="zh-CN"/>
              </w:rPr>
              <w:t xml:space="preserve">400万135mm大光圈镜头；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2.800万180°无盲区中低空球型鹰眼，全景采用4个F1.0大光圈全彩镜头拼接而成，可输出180°大场景无盲区拼接画面；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3.全景画面可支持关注区域畸变矫正，细节采用大光圈长焦光学变焦镜头，最大光圈F1.0，最大焦距可达135 mm；</w:t>
            </w:r>
            <w:r>
              <w:rPr>
                <w:rFonts w:hint="eastAsia" w:ascii="宋体" w:hAnsi="宋体" w:eastAsia="宋体" w:cs="宋体"/>
                <w:bCs/>
                <w:sz w:val="24"/>
                <w:szCs w:val="24"/>
                <w:lang w:val="en-US" w:eastAsia="zh-CN"/>
              </w:rPr>
              <w:br w:type="textWrapping" w:clear="all"/>
            </w:r>
            <w:r>
              <w:rPr>
                <w:rFonts w:hint="eastAsia" w:ascii="宋体" w:hAnsi="宋体" w:cs="宋体"/>
                <w:bCs/>
                <w:sz w:val="24"/>
                <w:szCs w:val="24"/>
                <w:lang w:val="en-US" w:eastAsia="zh-CN"/>
              </w:rPr>
              <w:t xml:space="preserve">（一）</w:t>
            </w:r>
            <w:r>
              <w:rPr>
                <w:rFonts w:hint="eastAsia" w:ascii="宋体" w:hAnsi="宋体" w:eastAsia="宋体" w:cs="宋体"/>
                <w:bCs/>
                <w:sz w:val="24"/>
                <w:szCs w:val="24"/>
                <w:lang w:val="en-US" w:eastAsia="zh-CN"/>
              </w:rPr>
              <w:t xml:space="preserve">全景相机</w:t>
            </w:r>
            <w:r>
              <w:rPr>
                <w:rFonts w:hint="eastAsia" w:ascii="宋体" w:hAnsi="宋体" w:cs="宋体"/>
                <w:bCs/>
                <w:sz w:val="24"/>
                <w:szCs w:val="24"/>
                <w:lang w:val="en-US" w:eastAsia="zh-CN"/>
              </w:rPr>
              <w:t xml:space="preserve">技术要求</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4.4个1/1.8" 2MP CMOS，最高分辨率及帧率可达4272 × 1880 @30 fps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5.视场角：水平180°，垂直110°</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6.星光级超低照度，0.0005 Lux @F1.0（彩色），0.0001 Lux @F1.0（黑白）</w:t>
            </w:r>
            <w:r>
              <w:rPr>
                <w:rFonts w:hint="eastAsia" w:ascii="宋体" w:hAnsi="宋体" w:cs="宋体"/>
                <w:bCs/>
                <w:sz w:val="24"/>
                <w:szCs w:val="24"/>
                <w:lang w:val="en-US" w:eastAsia="zh-CN"/>
              </w:rPr>
              <w:t xml:space="preserve">；</w:t>
            </w:r>
            <w:r/>
          </w:p>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（二）</w:t>
            </w:r>
            <w:r>
              <w:rPr>
                <w:rFonts w:hint="eastAsia" w:ascii="宋体" w:hAnsi="宋体" w:eastAsia="宋体" w:cs="宋体"/>
                <w:bCs/>
                <w:sz w:val="24"/>
                <w:szCs w:val="24"/>
                <w:lang w:val="en-US" w:eastAsia="zh-CN"/>
              </w:rPr>
              <w:t xml:space="preserve">细节摄像机</w:t>
            </w:r>
            <w:r>
              <w:rPr>
                <w:rFonts w:hint="eastAsia" w:ascii="宋体" w:hAnsi="宋体" w:cs="宋体"/>
                <w:bCs/>
                <w:sz w:val="24"/>
                <w:szCs w:val="24"/>
                <w:lang w:val="en-US" w:eastAsia="zh-CN"/>
              </w:rPr>
              <w:t xml:space="preserve">技术要求</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7.1/1.8" 4MP CMOS，最高分辨率及帧率可达2688 × 1520 @30 fps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8.星光级超低照度，0.0005 Lux @F1.0（彩色），0.0001 Lux @F1.0（黑白），0 Lux with IR</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9.10倍光学变倍，16倍数字变倍</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10.水平360°连续旋转，垂直-15°~90°（自动翻转）</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11.全景支持区域入侵侦测、越界侦测、进入区域、离开区域事件侦测功能，支持人员密度检测功能，检测覆盖范围半径50米</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12.全景支持车辆拥堵检测功能，检测覆盖范围半径100米，推荐：在封闭式道路中可以做拥堵事件检测，推荐在高速、环线、快速路或者主干线</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13.细节支持区域入侵侦测、越界侦测、进入区域、离开区域事件侦测功能，支持细节路混合目标检测，对检测区域内的人、非机动车、车进行同时抓拍上传。</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顶楼周界检测摄像机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1.400W周界摄像机，提升周界场景的检出率及检准率；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2.能够智能识别并抑制图像中的噪声，在提升画面整体清晰度的同时有效保留细节纹理，显著改善低光照、高感光等复杂场景下的成像质量；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3.越界侦测，区域入侵侦测，进入/离开区域侦测为大模型算法，支持联动声光预警；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4.音频：内置2个麦克风和1个扬声器</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5.警戒距离与盲区：</w:t>
            </w:r>
            <w:r/>
          </w:p>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人员最远报警距离</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以1.8米*0.5米为准</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2.7~13.5mm</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近端50m，盲区4m；远端100m，盲区10m。</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防爆热成像摄像机</w:t>
            </w:r>
            <w:r/>
          </w:p>
        </w:tc>
        <w:tc>
          <w:tcPr>
            <w:tcW w:w="763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1.400W热成像双光谱防爆筒机；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2.热成像像素256 × 192，像元大小12um，NETD ≤ 35 mK </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25°C, F1.0</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3.支持区域入侵探测、越界探测、进入区域探测、离开区域探测、音频异常探测、高温物体检测等功能；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4.支持测温功能:支持普通测温，专家测温检测；可以画1条线规则，以及最多20个点或20个区域检测；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5.支持吸烟检测、火点检测、烟雾检测；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6.支持双向语音对讲，支持声光报警，支持红外补光；设备内置麦克风、扬声器、白光灯；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7.具备‌气体环境‌和‌粉尘环境‌的最高级别防爆能力；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8.热成像传感器类型：氧化钒非制冷型探测器；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9.报警联动：1个内置扬声器，支持联动白光报警、支持联动声音报警；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10.防火监测应用：热成像通道：吸烟检测、火点检测、温度异常。</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可视一键报警按钮</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1.可视款支持400万像素高清摄像头，支持红外补光，补光距离5米；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2.支持标准的Micro SD卡插槽，可插入 Micro SD/SDHC/SDXC卡，将音视频存储到SD卡；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3.支持语音对讲功能，内置高灵敏度麦克风，可实现5米内拾音，3米内对讲；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4.自带1个红蓝双色灯，可控制关闭/开启不同颜色；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5.支持一路3.5mm音频输入及输出扩展，可外接拾音器、音箱等设备；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6.支持DC12V/PoE供电（802.3 af）；</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7.支持壁挂，吊装，支持万向轴转动功能；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8.最大支持64个无线按钮和32个无线探测器；支持2个无线中继器、8个无线遥控器、1个无线继电器模块。</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紧急报警管理机（门卫）</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1.紧急报警管理机一体式钢化玻璃面板设计，10.1寸彩色IPS 触摸屏，1280*800分辨率；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2.标配鹅颈话筒，具有硬件噪声抑制与回声消除功能，保证通话音质清晰明亮；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3.实时对讲：支持与报警盒、报警箱、报警柱、门口机、室内机及管理机之间的可视对讲；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4.监听监视：支持实时预览前端设备的音视频；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5.报警功能：实时接收、显示前端设备的报警信息；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6.分组广播：支持对前端设备进行分组广播喊话；支持同时广播50台前端设备，配置后支持广播最大250台报警盒；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7.硬件接口：USB接口，支持拓展音箱&amp;指纹模块；支持TF卡，扩展容量，提高安全性；具有HDMI接口可外接显示屏；3.5mm音频输入输出接口可外接麦克风和扬声器。</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室外闸机（左机芯）</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1.左边道，箱体材质：1.0mm厚304不锈钢，门翼材质：亚克力；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2.交叉通行：一方通行后在未关门前对向认证通过，门翼保持不动，由对向人员通行结束门翼再关闭；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3.自动复位：设备具有自动复位功能，开门后在规定的时间内未通行，系统将自动取消用户的本次通行的权限，可设定通行时间；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4.消防联动：设备具有消防联动接口，当消防信号触发时，门翼自动打开，快速引导人员疏散；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5.断电通行：设备可选配超级电容，断电时门翼自动打开，人员可自由通行，防止恐慌；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6.激光雷达防夹：设备具备激光雷达防夹功能，在门翼复位的过程中检测到激光雷达触发时电机自动停止工作,防止人员受伤；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7.防冲撞：设备具备防冲撞功能，在没有接收到开门信号时，若受到不超过40N•m的冲击力，门翼保持锁止状态；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8.人数统计：设备支持人数统计功能配置，可实时获取设备进出方向总人数；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9.远程控制：设备可选配遥控器或遥控平板支持远程控制；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10.机械防夹：设备具备防夹功能，在门翼复位的过程中遇阻时电机自动停止工作,防止人员受伤；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11.语音控制：具备文字转语音（TTS）和语音合成技术；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12.设备应采用6个自收自发的应能支持室外使用的激光雷达探测器，无需收发对齐；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13.设备应能仅使用一根网线实现一组通道主从闸机的同步通讯与网络通讯功能。</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室外闸机（右机芯）</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1.右边道，箱体材质：1.0mm厚304不锈钢，门翼材质：亚克力；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2.交叉通行：一方通行后在未关门前对向认证通过，门翼保持不动，由对向人员通行结束门翼再关闭；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3.自动复位：设备具有自动复位功能，开门后在规定的时间内未通行，系统将自动取消用户的本次通行的权限，可设定通行时间；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4.记忆模式：设备支持记忆模式，可实现连续快速通行；</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5.消防联动：设备具有消防联动接口，当消防信号触发时，门翼自动打开，快速引导人员疏散；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6.断电通行：设备可选配超级电容，断电时门翼自动打开，人员可自由通行，防止恐慌；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7.激光雷达防夹：设备具备激光雷达防夹功能，在门翼复位的过程中检测到激光雷达触发时电机自动停止工作,防止人员受伤；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8.防冲撞：设备具备防冲撞功能，在没有接收到开门信号时，若受到不超过40N•m的冲击力，门翼保持锁止状态；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9.人数统计：设备支持人数统计功能配置，可实时获取设备进出方向总人数；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10.远程控制：设备可选配遥控器或遥控平板支持远程控制；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11.机械防夹：设备具备防夹功能，在门翼复位的过程中遇阻时电机自动停止工作,防止人员受伤；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12.语音控制：具备文字转语音（TTS）和语音合成技术。</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室外闸机（中机芯）</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cs="宋体"/>
                <w:bCs/>
                <w:sz w:val="24"/>
                <w:szCs w:val="24"/>
                <w:lang w:val="en-US" w:eastAsia="zh-CN"/>
              </w:rPr>
              <w:t xml:space="preserve">中间</w:t>
            </w:r>
            <w:bookmarkStart w:id="210" w:name="_GoBack"/>
            <w:r/>
            <w:bookmarkEnd w:id="210"/>
            <w:r>
              <w:rPr>
                <w:rFonts w:hint="eastAsia" w:ascii="宋体" w:hAnsi="宋体" w:eastAsia="宋体" w:cs="宋体"/>
                <w:bCs/>
                <w:sz w:val="24"/>
                <w:szCs w:val="24"/>
                <w:lang w:val="en-US" w:eastAsia="zh-CN"/>
              </w:rPr>
              <w:t xml:space="preserve">道，箱体材质：1.0mm厚304不锈钢，门翼材质：亚克力；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2.交叉通行：一方通行后在未关门前对向认证通过，门翼保持不动，由对向人员通行结束门翼再关闭；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3.自动复位：设备具有自动复位功能，开门后在规定的时间内未通行，系统将自动取消用户的本次通行的权限，可设定通行时间；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4.记忆模式：设备支持记忆模式，可实现连续快速通行；</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5.消防联动：设备具有消防联动接口，当消防信号触发时，门翼自动打开，快速引导人员疏散；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6.断电通行：设备可选配超级电容，断电时门翼自动打开，人员可自由通行，防止恐慌；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7.激光雷达防夹：设备具备激光雷达防夹功能，在门翼复位的过程中检测到激光雷达触发时电机自动停止工作,防止人员受伤；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8.防冲撞：设备具备防冲撞功能，在没有接收到开门信号时，若受到不超过40N•m的冲击力，门翼保持锁止状态；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9.人数统计：设备支持人数统计功能配置，可实时获取设备进出方向总人数；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10.远程控制：设备可选配遥控器或遥控平板支持远程控制；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11.机械防夹：设备具备防夹功能，在门翼复位的过程中遇阻时电机自动停止工作,防止人员受伤；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12.语音控制：具备文字转语音（TTS）和语音合成技术。</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人脸识别面板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英寸触摸屏，屏占比≥90%，亮度≥600cd/m2，分辨率≥600*1024；</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2.摄像头参数：采用宽动态200万双目摄像头；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3.认证方式：支持人脸、刷卡（IC卡、手机NFC卡、CPU卡序列号/内容、身份证卡序列号）、密码认证方式，可外接身份证、指纹、蓝牙、二维码功能模块；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4.人脸验证：采用深度学习算法，支持单人或多人识别（最多5人同时认证）功能；支持照片、视频防假；1:N人脸验证速度≤0.2s，人脸验证准确率≥99%；</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5.声纹识别：采用深度学习算法，支持动态数字声纹口令（声纹仅支持组合认证）；1:1声纹识别速度≤0.5s，验证准确率≥99%；</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6.存储容量：本地支持 10 万人脸库、10 万张卡，1000段声纹，15 万条事件记录；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7.硬件接口：LAN*1、RS485*1、、typeC接口*1、电锁*1、门磁*1、报警输入*2、报警输出*1、开门按钮*1、SD卡槽*1、3.5mm音频输出接口*1；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8.视频预览：支持管理中心远程视频预览，支持接入NVR设备，实现视频录像，编码格式H.264；</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9.事件上传：在线状态下将设备认证结果信息及联动抓拍照片实时上传给平台，支持断网续传功能，设备离线状态下产生事件在与平台连接后会重新上传；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10.支持本地非明文存储比对结果、身份信息及抓拍人脸照片；支持实时非明文上传比对结果、身份信息及抓拍人脸照片等至管理中心；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设备接入系统平台后应能支持视频联动报警功能；未授权人员刷人脸时，设备应能支持抓拍图片并实时上报平台预警；系统应具有应急开启的方法，如设备支持接入消防应急信号联动开门；根据设定事件的联动关系，当检测到该事件发生时，应能触发对应的动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12.设备应支持对显示页面进行编辑的功能：</w:t>
            </w: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t xml:space="preserve">应能提供至少5种页面类型进行选择，每种页面均能插入文字和图片；</w:t>
            </w: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应能调整插入文字的位置和大小，具有修改文字大小、字体颜色、背景填充、对齐格式等操作；</w:t>
            </w: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应能调整插入图片的位置和大小，具有背景填充功能。</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智能门锁</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1.门锁材质：铝合金；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2.支持读取卡内容进行验证，可防止手机NFC复制卡模拟验证；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3.开门方式：刷卡、密码、指纹、手机APP、后台远程、机械钥匙等多种方式可选；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4.供电类型：4节AA电池，电池寿命：6~10个月；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5.低压报警：支持低电量语音报警提示；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6.支持虚位密码，支持临时密码开锁；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7.卡名单数量</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个</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：500，指纹名单数量</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人</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：100；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8.通信方式：Lora；</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9.适合玻璃门厚度：12mm；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10.在线升级：支持读卡升级和OTA远程升级。</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智能门锁网关</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1.供电电压：DC 12V；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2.处理性能：处理器4核，存储≥8GB，RAM内存≥1GB；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4.通讯方式：上行采用TCP，下行采用LoRa无线通讯；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5.接口：支持HDMI和USB接口；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6.带载量：不低于260个终端设备；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▲7.智能门锁和网关采用多级存储机制，网关本地存储门锁已授权名单，并支持查询所带载设备的授权名单等信息（</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读卡器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1.供电电压：DC 9～15V；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2.读卡频率：13.56MHz；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3.读卡距离：1-5cm；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4.支持卡类型：支持Mifare1卡/CPU卡；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5.显示：OLED，可显示操作状态；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6.PSAM：内置≥1个PSAM卡槽；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7.防拆设计：具备防拆开关；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8.声光提示：LED指示+蜂鸣器提示。</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单门门禁控制器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1.通讯方式：以太网；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2.名单数量：≥20万；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3.脱机记录：≥50万；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4.供电电压：AC 220V；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5.读头接口：≥2路；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6.门锁接口：≥2路；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7.按键接口：≥2路；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8.三方联动接口：火警信号联动自动开锁，入侵信号联动门锁自动关闭；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9.开门方式：支持首卡开门、多卡开门、远程开门；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10.安全防控：支持双门互锁、反潜回。</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双门门禁控制器</w:t>
            </w:r>
            <w:r/>
          </w:p>
        </w:tc>
        <w:tc>
          <w:tcPr>
            <w:tcW w:w="763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1.通讯方式：以太网；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2.名单数量：≥20万；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3.脱机记录：≥50万；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4.供电电压：AC 220V；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5.读头接口：≥4路；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6.门锁接口：≥4路；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7.按键接口：≥4路；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8.三方联动接口：火警信号联动自动开锁，入侵信号联动门锁自动关闭；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9.开门方式：支持首卡开门、多卡开门、远程开门；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10.安全防控：支持双门互锁、反潜回。</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单门电磁锁</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1.适用范围：木门、金属门、防火门；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2.输入电压：DC 12V；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3.锁体类型：单门；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4.承受拉力：280kg；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5.指示功能：锁体LED状态指示灯功能；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6.安全类型：通电上锁、断电开锁。</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双门电磁锁</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1.适用范围：木门、金属门、防火门；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2.输入电压：DC 12V；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3.锁体类型：双门；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4.承受拉力：280kg；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5.指示功能：锁体LED状态指示灯功能；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6.安全类型：通电上锁、断电开锁。</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出门按钮</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1.结构：塑料面板；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2.性能：最大耐电流1.25A，电压250V；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3.输出：常开；</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4.类型：适合埋入式电器盒使用；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5.尺寸：86*86mm。</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人脸多功能录入仪</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1.3.97英寸触摸屏，分辨率800*480；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2.采用200万双目摄像头，有照片视频防假功能；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3.支持人脸采集、卡片录入（ID/IC/普通CPU/国密CPU卡/二三代身份证序列号）；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4.支持有线网络、无线Wi-Fi、USB口通信；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5.支持在线采集，通过网络协议或USB口对接平台，平台进行在线采集，采集信息实时上传。</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门禁管理系统</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1.多种终端集成管理：支持集中授权、统一管控，包括门禁终端、无线门锁、通道闸机等；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2.系统机制：支持按规则自动授权和授权时段自动下发；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3.支持多种验证方式：包括校园卡、手机扫码（正扫和反扫）、动态密码、固定密码、指纹、人脸识别、身份证等；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4.固定密码：支持为单个设备设置10组（含）以上可自定义使用时间段的长效密码；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5.临时密码：支持为单个设备生成可自定义有效期的随机密码；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6.区域统一管理：终端设备归属到“区域”，进行统一授权管理，区域设置支持园区、楼栋、单元、楼层、房间等多种类型；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7.分级管理：上级管理员可以创建下级职员，支持权限继承后自定义设置；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8.授权时间段设置：支持授权有效时间段，到期自动生效，过期自动失效，支持按周期授权；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9.自动授权授禁：支持设置指定部门或人员组与区域或设备组的权限绑定，支持人员或设备信息变化后自动授权/授禁；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10.门禁地图监控：支持图形化展示设备开关状态、异常报警信息等，同时支持远程开门、实时视频查看等功能；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11.视频监控联动：支持与视频监控设备进行联动，支持实时视频查看、历史视频回放、系统联动抓拍等功能</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12.断电解锁功能：断电时自动将终端解锁成敞开状态；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13.应用模式：支持常开模式、首卡开门、多卡开门、多门互锁、反潜回。</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视频存储一体机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1.4U机架式网络存储设备，搭载64位多核处理器，1+1冗余电源、冗余风扇；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2.处理器：64位多核，内存≥16GB，系统盘≥240GB SSD，数据盘≥480GB SSD；</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★3.存储接口：SATA接口，支持硬盘热插拔，总容量600TB，配置24块25T硬盘；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4.以文搜图：350路（文搜IPC）</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5.检索数量：150W/天</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6.图片性能：最大支持30张/S（单张图片500KB）</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7.大模型以文搜图：内置图文搜索引擎，支持开放式语义检索，输入文字描述即可查找人、车、非机动车及附属物等目标</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8.以文搜图应用展示：支持全通道录像检索，且通道和时间范围可设；支持搜索结果相似度自定义设置展示；支持自定义选择时间范围</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9.搜索结果快速筛选：以文搜图检索结果支持以相似度、时间、通道等条件对检出录像/图片进行排序或筛选</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10.在RAID内丢失2块（含）以上硬盘，无需等待丢失盘恢复，保留的硬盘中的数据可正常读出，且新数据可正常写入；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11.支持接入智能相机、结构化相机、抓拍机，对图片中的目标进行多模态大模型建模，目标图片大模型建模性能20张/s；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12.内置图文搜索引擎，支持开放式语义检索，输入文字描述即可查找人、车、非机动车及附属物等目标；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13.支持独立的以文搜图应用展示界面，默认支持全通道录像检索，且通道和时间范围可设；支持搜索结果相似度自定义设置展示；支持自定义选择时间范围；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14.界面支持以图形和文字方式展示高频词，可自由组合选择，如人的上衣颜色、下装颜色、随身物品、性别等；车的颜色、类型、品牌等；其他的包括保安、抽烟、打电话、玩手机等；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15.以文搜图检索结果支持以相似度、时间、通道等条件对检出录像/图片进行排序或筛选；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▲16.设备支持以文搜图内容合规性检测，可自动过滤敏感内容，且合规检测算法支持在线升级（</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人脸智能超脑</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1.2U机架式8盘位嵌入式网络硬盘录像机，采用存算一体架构，内置高性能AI处理器，搭载1+1冗余电源</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1.存储接口：8个SATA接口，支持硬盘热插拔，可满配20TB硬盘</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2.视频接口：2×HDMI，2×VGA</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3.网络接口：2×RJ45 10/100/1000Mbps自适应以太网口</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4.报警接口：16路报警输入，9路报警输出（其中第9路支持CTRL 12V）</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5.输入带宽：320Mbps，输出带宽：256Mbps</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6.接入能力：32路H.264、H.265格式高清码流接入</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7.内置图文搜索引擎，支持开放式语义检索，输入文字描述即可查找人、车、非机动车及附属物等目标</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8.支持搜索结果按相似度排序展示，根据搜索结果，可一键关联录像片段及以图搜图</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9.支持16路视频流人脸识别，支持32路图片流人脸识别；</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10.支持预览时对实时视频流进行手动打标签，通过标签检索可以检索到相关的录像片段。</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安防一体化平台</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1.支持组织基础信息的增删改查、导入、导出等功能；应用侧支持人事管理，包括学生管理、教职工管理和非编人员管理等；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2.支持区域基础信息的增删改查、导入、导出等功能；应用侧支持场地管理，包括校区管理、楼栋楼层管理、用房管理及相关责任人管理等；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3.支持人员信息的增删改查、导入、导出，包括人脸、指纹采集；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4.支持人员基础信息自定义扩展；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5.支持卡片基本信息的增删改查、导入、导出；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6.支持人员开卡、退卡、挂失、解挂、换卡及卡扇区加密；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7.支持车辆基本信息的增删改查、导入、导出；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8.提供设备统一接入管理，包括：视频设备、出入口设备、门禁设备、梯控设备、可视对讲设备、食堂消费设备、寻车诱导设备、卡口设备、车载设备、报警设备等；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9.支持账户基本信息和角色信息的增删改查；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10.通知公告：平台统一的通知公告，面向平台用户。如发布文件和通知，和下属未阅读提醒等场景；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11.进行统一权限下发：可自定义下发场景，进行直观的权限查看，以及查看权限下发历史记录；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12.平台系统模块包含：350路视频管理授权、350路设备管理授权、10路紧急报警授权、50路门禁管理授权、100路文搜管理授权；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13.支持以中心管理服务为核心的网络拓扑结构，支持对系统中的分组、服务器、组件等统计概览、查看；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14.录像计划清除支持二次身份验证，用户应输入密码进行验证；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15.支持录像定时下载；支持查询图片批量下载；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要求支持对监控的图像进行视频质量诊断，图像异常项包括图像偏色、噪声干扰、图像过暗、图像过亮、视频丢帧、视频抖动、对比度异常、条纹干扰、视频遮挡、信号丢失、图像黑白、图像模糊、场景变换、视频剧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17.支持文搜通道配置，支持统计具有文搜能力的设备数量、已开启文搜的通道数、未开启文搜的通道数和已授权文搜通道数；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18.支持自定义设置校园热词，比如“戴口罩的人、戴眼镜的人、拉行李箱的人、独行的人、背书包骑车的人、拿篮球的人、一起打伞”等；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▲19.支持背影寻人，开启背影寻人功能后支持根据背影抓拍图进行检索，并关联到对应的人脸信息，支持设置人体相似度（</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安防平台服务器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1.CPU：核心数≥8核，主频≥3.0GHz，线程数≥16线程；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2.内存：配置64G DDR4，最大支持4根内存插槽；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3.硬盘：2块4TB 7.2K SATA硬盘：最大支持4个内置3.5寸/2.5寸硬盘；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4.阵列卡：配置1张双口SATA HBA卡（支持RAID 0/1）；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5.接口：配置2个千兆电口，前置2个USB2.0接口，后置4个USB3.2接口，1个后置VGA显示接口，1个COM串口（RS232）；</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6.电源：标配550W冗余电源。</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UPS主机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1.UPS主机容量10</w:t>
            </w:r>
            <w:r>
              <w:rPr>
                <w:rFonts w:hint="eastAsia" w:ascii="宋体" w:hAnsi="宋体" w:cs="宋体"/>
                <w:bCs/>
                <w:sz w:val="24"/>
                <w:szCs w:val="24"/>
                <w:lang w:val="en-US" w:eastAsia="zh-CN"/>
              </w:rPr>
              <w:t xml:space="preserve">kV</w:t>
            </w:r>
            <w:r>
              <w:rPr>
                <w:rFonts w:hint="eastAsia" w:ascii="宋体" w:hAnsi="宋体" w:eastAsia="宋体" w:cs="宋体"/>
                <w:bCs/>
                <w:sz w:val="24"/>
                <w:szCs w:val="24"/>
                <w:lang w:val="en-US" w:eastAsia="zh-CN"/>
              </w:rPr>
              <w:t xml:space="preserve">A，可立式或机架式安装，机架式安装时高度≤3U；</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2.整机UPS效率：≥96%；</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3.输入电流谐波：≤3%；</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4.过载能力：125%负载正常工作时间≥10分钟。</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蓄电池</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1.阀控式铅酸蓄电池；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2.额定电压：12V；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3.浮充电压：13.5～13.8V；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4.额定容量：100AH；</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5.螺栓规格：M8*20不锈钢螺栓。</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电池柜</w:t>
            </w:r>
            <w:r/>
          </w:p>
        </w:tc>
        <w:tc>
          <w:tcPr>
            <w:tcW w:w="763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尺寸：460*780*1170mm，容纳16接100AH蓄电池，冷轧钢板材质。</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安防系统辅材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含电源线、线管、线槽、电工胶布等。</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安防系统集成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以点为单位平均核算点位安装调试费用，包括设备安装、设备调试、链路测试、信号测试、线缆打标、平台规划等。</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多合一物联网关</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1.通讯配置：支持ZigBee3.0；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2.供电方式：DC 5V；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3.四核处理器，主频≥1.2GHz；1GB DDR4存储；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4.有线网络：具有1个10/100/1000M自适应WAN，1个10/100/1000M自适应LAN口；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5.Wi-Fi通讯：支持IEEE 802.11ac，IEEE 802.11b，IEEE 802.11g，IEEE 802.11n；</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6.系统监控：支持查看系统的运行实况；包括系统基本配置、CPU、系统负载、内存、存储空间、连接站点、动态 DNS、系统进程及日志等；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7.实时信息：支持对负载、出入站流量、无线信号及速率、UDP及 TCP连接状态、上传及下载速率实时动态监控；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8.终端入网配置及监管：支持配置管理智能硬件终端，包括终端入网、终端状态及运行参数查看、远程控制等；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9.内核管理：提供 CPU 各个内核实时频率、负载率、使用率等状态管理，支持 CPU调速器、CPU频率区间的内核配置调试；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10.能够根据接入设备的IP地址、Mac 地址进行下载速率、上传速率限值设置，支持限速白名单设备添加，具备网络接口流量优先级启用与配置功能；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▲11.带宽监控：支持设备连接客户端主机流量分布管理，包括源IP、MAC地址、上传量、下载量等信息监控（</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12.终端连接及网络图：支持通过配置页面动态查看所有关联智能硬件终端的实时信号值以及在离线状态，提供终端网络图，支持查看已入网终端的 ZigBee 路由径路及IEEE地址；</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13.OTA管理：支持入网硬件终端设备按关键信息快速搜索，支持固件构建日期查看、固件检查更新与升级；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14.IP配置：提供IPv4及IPv6配置界面，支持对静态路由、规则、地址进行设置和管理查看。</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灯光智能控制面板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1.通讯配置：支持ZigBee无线通信协议，能与配套协议网关完成组网通讯；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2.供电方式：AC 220V；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3.接线方式：零火线供电；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4.支持物联网平台实现控制面板键位联动设置；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5.具备灯光远程及本地开关控制功能；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6.支持定时任务智能策略设置，在规定时间可自行完成开灯、关灯动作；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7.支持各回路照明开启时长数据采集与统计。</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空调智能数据采集器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1.通讯配置：支持Modbus通信协议；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2.供电方式：DC 5—36V；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3.接口配置：串口≥2路，网口≥1路，具有SMA外置天线接口；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4.具有TCP透传功能，支持将接收数据透传到目标服务器；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5.波特率配置：支持1200-460800bps范围自定义设置；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6.支持符合标准通讯协议及非标协议终端设备接入与通信；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8.支持依据接入设备通讯信息灵活设置波特率参数。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9.支持服务器端与硬件目标终端之间双向数据传输；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10.接受同类型终端设备同时接入；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11.具备线性网络或星形网络拓扑结构搭建能力；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12.通过有区别的数据格式实现对不同设备的灵活及独立控制。</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情景面板4寸</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1.通讯配置：具备 1 路以太网（RJ45）通信端口；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2.供电方式：网口POE或 DC8V-48V；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3.屏幕要求：≥4寸电容触摸屏；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4.支持≥2路继电器接口；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5.支持空调模式、温度调节。</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情景面板10寸</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1.屏幕要求：≥10寸电容触摸屏；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2.分辨率：≥1280*800；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3.配置要求：处理器≥四核、内存≥2GB 、存储≥8GB；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4.支持POE网络及Wi-Fi模块；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5.支持投射式电容触摸；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6.支持定时开关机；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7.支持自定义设置各个情景控制模块名称；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8.能够将单个物联控制模块自由搭配成各情景控制组合模块。</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窗帘电机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1.通讯配置：支持Modbus通信协议；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2.供电方式：AC 100—240V；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3.配套窗帘导轨，支持6m长度范围内定制，配套窗帘控制遥控器；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4.单次最大运行时间：4min；</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5.额定扭矩：1.2N.m；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6.打开/关闭速率：14cm/s；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7.支持使用PC端、移动端对窗帘进行远程开合控制；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8.支持通过对行程测点写值实现窗帘开合程度的精准控制；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9.具备窗帘开、合及停止执行动作的智能管控功能；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10.支持自动停机，窗帘开或合到位时，自行中断开合动作；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11.本地端控制功能，非断电状态下通过手动拖拽可触发窗帘自动推送实现窗帘开合；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12.支持定时开合窗帘的策略设置，在规定时间系统可自动完成窗帘开合动作。</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水控电磁流量计</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1.通讯配置：支持标准Modbus通讯协议；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2.供电方式：AC 220V或DC 24V；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3.压力等级：1.6MPa；</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4.准确度等级：0.5级；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5.内存材料：聚四氟乙烯；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6.连接方式：法兰连接安装；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7.防护等级：IP65；</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8.分体型表盘设计，分体线长标配3m；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9.具备流速、瞬时流量、用水量本地化流量计表盘显示功能；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10.支持远程对实时流量、累计用水量等流量信息在线监测能力；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11.流量单位、量程等流量参数以及设备地址、波特率等通讯参数可选择性手动修改；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12.支持不同时间段内用水量数据的归整统计与分析对比；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13.可自定义设置用水量限值，超量时可协同物联监控平台生成预警信息；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14.配合智能控制阀可支持分区域、分时段个性化制定用水管控节能策略，用水超量可即刻自动触发控制阀关闭。</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雨水传感器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1.主要材质：PC；</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2.灵敏调节，数值越大，设备对雨水的感应灵敏度越高</w:t>
            </w:r>
            <w:r>
              <w:rPr>
                <w:rFonts w:hint="eastAsia" w:ascii="宋体" w:hAnsi="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走廊智能数据采集器</w:t>
            </w:r>
            <w:r/>
          </w:p>
        </w:tc>
        <w:tc>
          <w:tcPr>
            <w:tcW w:w="763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1.通讯配置：支持Modbus通信协议；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2.供电方式：DC 5—36V；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3.接口配置：串口≥2路，网口≥1路，具有SMA外置天线接口；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4.具有TCP透传功能，支持将接收数据透传到目标服务器；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5.波特率配置：支持1200-460800bps范围自定义设备；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6.支持符合标准通讯协议及非标协议终端设备接入与通信；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7.支持依据接入设备通讯信息灵活设置波特率参数</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8.支持服务器端与硬件目标终端之间双向数据传输；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9.接受同类型终端设备同时接入；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10.具备线性网络或星形网络拓扑结构搭建能力；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11.通过有区别的数据格式实现对不同设备的灵活及独立控制。</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8路智能照明控制模块</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1.通讯配置：支持标准Modbus通信协议；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2.供电方式：AC 220V；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3.标称电流：20A；</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4.照明控制回路：8路；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5.回路负载限额：阻性：≤4400W，感性/容性：≤1000W；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6.自带本地开关控制按键，可灵活选择并管控各回路照明；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7.支持展示通信地址、波特率等信息并可在线修改</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8.支持联级设置与控制，能够将多回路随意组合扩展；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9.在线远程状态监测能力，每个照明回路开关状态均可显示；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10.支持使用手机端或PC端对各回路照明灯具进行有效的单控与集控远程管理；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11.断电记忆：停电恢复时可自动保持在断电前的工作状态；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12.时控应用：能够通过系统设置的定时策略实现照明的自动开关；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13.消防联动：具有消防应急信号接口，消防报警输入时强制开启照明灯具。</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智能照明编程面板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1.通讯方式：Modbus本地组网通讯；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2.供电方式：DC 12V；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3.支持1-12键定制；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4.LED背光显示；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5.支持单回路及多点控制；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6.面板可通过编程实现各种场景的组合控制；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7.一体式钢化玻璃面板设计。</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电源模块</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1.输入电压：AC 220V（±10%）；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2.输出电压：DC 12V（±10%）；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3.额定输出电流：3A；</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4.具有防浪涌、抗谐波功能；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5.支持过流、过压、短路、过载保护。</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物联网授权软件</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1.支持根据软件系统实际接入的设备量情况进行授权配置；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2.支持与Windows、iOS、Android等操作系统完全匹配，能够接受各类型显示终端的接入管理；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3.保护代码逻辑，支持多种开发语言的加密配置；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4.为场景设备授权绑定后即可离线，在出现公网中断时也能够通过本地网正常使用软件完成各项管理；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5.支持在线或离线两种激活方式，内网完全离线时可保持许可状态，获取软件使用权。</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控制平板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11.5寸/8核2.4GHz/8+128G/120Hz高刷/800W双摄/含保护壳。</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外开推窗器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1.外推开窗器，配485通讯器；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2.推力/拉力≥600N；</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3.行程距离：500—700mm。</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消防联动控制箱</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83A控制箱尺寸400*500*170，输入220V，输出24V，电流83A，功率2000W。</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物联网系统辅材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含电源线、线管、线槽、电工胶布等。</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物联网系统集成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安装调试费用，包括设备安装、设备调试、链路测试、信号测试、线缆打标、平台规划等。</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LED显示屏</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★1.像素间距：≤2.5mm；像素密度≥160000点/㎡，GOB封装工艺，箱体采用压铸铝箱体，不接受铝板及塑料后盖；</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2.亮度：≥600cd/㎡；换帧频率：≥60Hz； 刷新频率：≥3840Hz；对比度：≥10000:1； 可视角度：水平及上下≥170°；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3.显示单元应有可靠的除湿手段，通过屏体控制软件，可以进行一键启动或一键终止全部LED模组的自动除湿功能，任意显示单元应具备一键显示单元、一键全屏启动和终止自动除湿的按钮功能；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4.为提高LED显示屏产品信号传输稳定性，减少传输线缆数量，显示屏箱体内无RJ45网线接口，直接使用HDMI接口信号级联。</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LED视频处理器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1.发送卡支持DVI输入；音频输入；双网口输出；USB接口控制；可级联多台进行统一控制；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2.单张支持分辨率：1280*1024，1024*1200，1600*848，1920*712，2048*668；</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3；接收卡支持单卡输出 RGBR’数据 16 组，单卡输出 RGB 数据 20 组，单卡输出串行数据 64 组，单卡带载像素为 256×226，支持配置文件回读；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4.支持程序复制；支持温度监控，支持网线通讯状态检测。</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LED嵌入式软件</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1.支持多个显示区域分屏播出视频，图片，文字，动画等；</w:t>
            </w:r>
            <w:r/>
          </w:p>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2.进行LED屏幕显示布局的创建和修改，支持256通道的设置和显示，通道可以任意地叠加并调整顺序；</w:t>
            </w:r>
            <w:r/>
          </w:p>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3.支持AVI、Targa、WMF、MPEG、BMP、JPEG等多种文件格式显示；支持创建中文信息。</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LED安装框架结构</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1.框架采用40*40镀锌方管，平整度好，高精度连接校准；</w:t>
            </w:r>
            <w:r/>
          </w:p>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2.屏体主结构框架采用镀锌钢管制作，防腐防锈处理，哑光黑色304不锈钢包边，包边宽度3至6公分；</w:t>
            </w:r>
            <w:r/>
          </w:p>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3.主框架满足产品安装和安全要求，屏体加钢结构支架不超过25公分厚度。</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LED控制主机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八核3.0GHz/16G/512G固态/2G独立显卡/23寸显示器。</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4进4出HDMI矩阵</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1.输入接口：HDMI*4；</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2.输出接口：HDMI*4、3.5MM*1；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3.分辨率：4K*2K@30Hz；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4.音频：HDMI内置音频和3.5MM音频解嵌；</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5.HDMI协议：HDMI1.4；</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6.HDCP协议：HDCP 1.4；</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7.控制方式：可视化按键、红外遥控、RS232、局域网、WEB、第三方控制（中控）。</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无线投屏器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1.Wi-Fi性能：双频双5GWifi模块；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2.支持35米无线传输距离，同时10位待机人数；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3.支持Windows、Mac、iOS、Android等终端无缝切换至大屏显示；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4.支持USB/TYPE-C/HDMI三合一发射器；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5.支持电脑手机不同终端同时无线投屏，Miracast混投四画面分割显示；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6.支持电脑及手机APP投屏，支持局域网免硬件投屏；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7.支持待机画面、UI界面自定义，支持投屏码投屏，支持独占投屏模式；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8.支持鼠标键盘、触控框、电子白板、USB数据回传；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9.HDMI+音频分离，支持720P，1080P输出，4K输出；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10.支持WEB后台管理，支持后台固件升级。</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配电箱及运行控制设备</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1.配电柜项目所需所有配套，具备远程上电功能，PLC功能，继电器、空气开关元器件；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2.额定工作电压Ue=380V/220V、额定绝缘电压=500V、频率:50Hz；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3.无明显导电灰尘及对金属、绝缘物有害的腐性、易燃、易爆的危险物品；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4.具备手动控制和自动控制功能。可手动按钮控制设备的启/停，也可通过PLC控制设备的启停功能；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5.具有电源状态指示、工作状态指示，可远程监控设备运行状态</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6.配电柜成套设备的防护等级达到IP30，配电柜通过介电性能测试与绝缘材料耐受内部电效引起的非正常发热和着火性能的测试。</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LED显示系统辅材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PVC管、扎带、标签、螺丝、缠绕管等，具体情况按现场情况而定。</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LED显示系统集成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安装调试费用，包括设备安装、设备调试、链路测试、信号测试、线缆打标、平台规划等。</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线阵全频扬声器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1.双8寸外置两分频全频扬声器系统；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2.频率范围：80 Hz–20 kHz（-10 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▲3.覆盖角度（H × V）：≥110°×12°（</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4.低音驱动单元：2 x 8”；</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5.高音驱动单元：1 x 3”；</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6.最大声压级（1m/1W）：≥136dB。</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线阵低频扬声器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1.低音驱动单元：≥2 x 15”；</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2.频率范围：32Hz - 250Hz；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3.最大声压级 SPL≥136dB；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4.内置 DSP 包括分频管理、均衡器、限幅、校正滤波器、相位校正处理和驱动单元保护电路；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5.集成≥6通道功率放大器（1,000 瓦/ 通道）；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6.功率输出：≥6x1000W。</w:t>
            </w:r>
            <w:r/>
          </w:p>
        </w:tc>
      </w:tr>
      <w:tr>
        <w:trPr>
          <w:trHeight w:val="147"/>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线阵专业支架</w:t>
            </w:r>
            <w:r/>
          </w:p>
        </w:tc>
        <w:tc>
          <w:tcPr>
            <w:tcW w:w="763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钢制支架，防锈处理，配套线阵全频扬声器，与线阵低频扬声器。</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辅助扬声器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1.频率范围（-10dB）：48Hz-20kHz；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2.频率响应（±3dB）：80Hz-18kHz；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3.灵敏度（1w@1m）：96dB；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4.额定阻抗：8Ω；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5.最大声压级输出（1m）：122dB长期最大功率（128dB峰值）；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6.额定功率：（连续/音乐信号/峰值）350W/700W/1400W；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7.覆盖角：100°*70°（H*V）；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8.低音单元：1*12”低音单元；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9.高音单元：1*2414H-C高音单元。</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辅助扬声器功放</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1.立体声输出功率8Ω:700W*2；</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2.立体声输出功率4Ω:1200W*2；</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3.桥接输出功率8Ω:1400W；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4.总谐波失真：&lt;0.05%；</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5.信噪比:98dB；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6.频率响应：20Hz-20KHZ</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0.3dB）。</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音频处理器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1.平衡式输入：16进16出，输入每通道有前级放大、信号发生器、扩展器压缩器、5段参量均衡、自动混音功能；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2.输出每通道支持31段参量均衡器、延时器、分频器、高低通滤波器、限幅器功能；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3.信噪比（A计权）≥115dB；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4.频率响应：20Hz-24KHZ（±0.5dB）；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5.EQ频率范围-40~+18dB；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6.总谐波失真：THD+N≤0.01%；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7.回声消除：AEC回声消除，快速自适应；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8.USB录音：可进行播放和录音；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9.反馈消除：AFC自适应反馈消除控制，具有不少于16个抑制点；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10.移动终端控制：支持手机、平板与分布式控制。</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数字调音台</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1.8+1个通道配置；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2.9英寸多点触控显示屏；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3.输入混音通道：16个单声道 + 1个立体声 + 2个FX返送；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4.总线：1个立体声，6个混音，2个FX，2个矩阵（支持输入到矩阵）；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5.本地I/O：16个麦克风/线路（12个XLR + 4个XLR/TRS Phones Combo）输入，8个（XLR）输出；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6.Dante：16个输入，16个输出；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7.USB：18个输入，18个输出；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8.混音1-6和立体声通道上的18个效果器和GEQ；</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9.采样率：48 kHz/96 kHz。</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控制室监听扬声器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1.频率范围：70Hz－20kHz；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2.分频点：4.5kHz；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4.最高声压级：98dB；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5.输入接口：蓝牙/RCA/AUX；</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6.高频单元尺寸：20mm；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7.低频单元尺寸：3"；</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8.单元功放：≥50W。</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专业监听耳机</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1.类型：密闭动圈型；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2.单元直径：40mm；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3.频率响应：15-22,000Hz；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4.灵敏度：96 dB/mW。</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无线单手持话筒</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1.无线单手持话筒；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2.动态范围 （典型值）&gt; 110 dB A－加权；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3.总谐波失真〈 1%</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 ±17.5 kHz 频偏于 1 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4.工作距离100米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5.频率响应100 Hz ~ 15kHz </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+1 dB, -3 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6.真正分集式，能在两个接收线路中选择更好的信号。</w:t>
            </w:r>
            <w:r/>
          </w:p>
        </w:tc>
      </w:tr>
      <w:tr>
        <w:trPr>
          <w:trHeight w:val="24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无线领夹话筒</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1.无线领夹话筒；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2.动态范围 （典型值）&gt; 110 dB A－加权；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3.总谐波失真〈 1%</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 ±17.5 kHz 频偏于 1 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4.工作距离100米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5.频率响应100 Hz ~ 15kHz </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+1 dB, -3 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6.分集式，能在两个接收线路中选择更好的信号。</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天线分配器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1.工作频率 UHF 频段，440 - 900 MHz；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2.输入接口：2×2 个汇合输入 - BNC 端子；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3.输出接口：2×4 个分配输出、2×1 个串联输出 - BNC 端子；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4.OIP3：+37dBm（典型值）；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5.射频输出增益：+1.0 dB ± 2.0 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6.输入 / 输出增益：+1.0 dB ± 2.0 dB。</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话筒天线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1.工作频率440 MHz ~ 900 MHz；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2.增益6 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3.阻抗50 欧姆；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4.电压驻波比≤ 1.7 :1。</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天线馈线</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50欧姆天线专用线。</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一拖四会议方杆麦</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一、无线话筒：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1.频率响应范围：640-690MHz；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2.调制方式：宽带FM；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3.频道数：200频道；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4.频带宽度：50MHz；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5.灵敏度：-95dBm；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6.动态范围：90dB；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7.频率响应：50Hz-18KHz（±3dB）；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8.综合信噪比:85dB；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9.对频方式：红外 + 无线；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二、话筒接收主机：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1.发射功率：10mW；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2.最大频道数： 200；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3.杂散抑制：-60dB；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4.谐波抑制:55dBc；</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5.屏幕：2.8寸TFT彩屏；</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22U机柜</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22U机柜带降温风扇，600*600mm，冷轧钢板。</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134</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篮球场扩声系统辅材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含电源线、线管、线槽、电工胶布等。</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135</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篮球场扩声系统集成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安装调试费用，包括设备安装、设备调试、链路测试、信号测试、线缆打标、平台规划等。</w:t>
            </w:r>
            <w:r/>
          </w:p>
        </w:tc>
      </w:tr>
      <w:tr>
        <w:trPr>
          <w:trHeight w:val="353"/>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136</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LED球场灯</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1.LED灯具额定功率200W，功率因数≥0.98，频率50Hz，配有防坠落措施；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2.灯具采用一体式设计，SMD封装方式；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3.灯具发光面采用高透光PMMA或高透光PC材质，配有外置防眩光格栅或防眩光挡板；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4.灯具采用不少于540颗灯珠，每颗额定0.5W，实用不大于0.38W，以减小光衰的影响；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▲5.整灯效能≥120lm/W，总光通量≥24000lm ，一般显色指数≥80，色温≥5000K（</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6.LED灯珠模块通过恒定湿热试验后样品无损坏，绝缘电阻及电气强度试验无击穿或闪烁现象。</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137</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灯具固定支架</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1.铁构件加工制作；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2.根据现场安装条件定制。</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138</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智能控制系统</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1.智能开关模块8路50A*1个；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2.智能开关模块4路50A*个；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3.调光模块箱（含1个2P16A开关）*1套；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4.0-10v调光模块6路*2套；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5.4路485集线器*1套；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6.12v开关电源*2个。</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139</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体育记分系统</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1.涵盖篮球（含3V3三人篮球）、羽毛球（单组赛）、乒乓球（单组赛）、网球、足球（11人制/5人制）、排球等热门体育运动项目；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大屏智能赛事信息可视化展示：联动现场LED大屏，可实时高清、清晰展示全套赛事核心信息，包含显示比分、参赛赛队名称、队徽、参赛队员信息；同步支持犯规判罚、赛事暂停、队员换人等现场执裁操作动态指示；精准实现比赛总时长、专项暂停计时、进攻倒计时等核心计时功能，全程贴合专业赛事执裁规范流程，信息展示直观醒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3.显示比赛时间、暂停时间、系统时间以及比赛倒计时功能；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4.裁判场边独立打分控制，同步上屏显示；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5.可调整比赛界面布局，增加删减显示内容；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专业赛事规则：严格遵循国际通用体育比赛规则标准；其中篮球项目专项支持多种权威赛事规则自由切换，覆盖CBA、FIBA、NBA、FIBA3X3等专业赛事规则，同时支持自定义个性化比赛规则；其余球类项目均支持灵活自定义规则设置，可全面适配专业赛事、业余赛事、场馆内部交流赛、友谊赛等不同层级赛事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7.支持广告预设及切换和临时通知插播，可以在大屏幕上显示各种通知信息，并设定速度、颜色、字体等特效；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8.可扩展操作台：可选择使用键盘快捷键打分，也可以配备专业打分台打分，比分导出功能；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9.数据自动备份，如遇电脑故障或断电，重启后即恢复先前画面；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10协同计时记分设备：可与24S记分牌同步显示；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11.与比赛技术统计软件联动，自动记录球员得分判罚。</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140</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裁判控制器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1.显示：4寸全彩液晶；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2.供电方式：AC 190～250V/USB接口支持移动供电；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3.通讯方式：无线通讯；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4.整机功率：≤10W；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5.结构材质：全钣金机箱；</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6.支持外接计时器 进攻计时器、比赛计时器；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7.功能描述：赛时修正，预存8组队名，场地交换控制，中英文自由切换，自定义比赛规则，联动控制计时计分设备，球队暂停犯规次数（1—9次）；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8.支持多种比赛类型（篮球、排球、足球、网球、羽毛球、乒乓球），支持球员得分犯规等信息操作；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▲9.数据安全保障：搭载全自动数据备份功能，赛事全程核心数据不间断留存，遭遇突发断电等异常情况，设备重启后可自动恢复断电前全部赛事数据，确保数据零丢失、赛事不中断（</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p>
        </w:tc>
      </w:tr>
      <w:tr>
        <w:trPr>
          <w:trHeight w:val="976"/>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141</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篮球24秒进攻计时器</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1.尺寸：695x580x535</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2.显示点阵：64x48，P10；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3.供电方式：AC 190～250V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4.通讯方式：无线通讯，多通道可变防止干扰；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5.支持外接灯带：提供开关控制（显示牌下端可预留接口）；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6.整机功率： ≤120W；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7.结构材质：全钣金机箱；</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8.声音提示：≥110dB；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9.比赛计时显示到十分之一秒；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10.进攻计时最后5秒钟显示十分之一秒；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11.分计时：能实现0--99分和0--59秒任意调整，具有启动、暂停、复位功能；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12.秒计时：能实现0--99秒任意调整，具有复位、启动、暂停功能；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13.可与LED同步显示24秒倒计时；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14.可显示比赛暂停倒计时；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15.终场最后5秒，倒计时自动跳转为1/10秒位显示；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16.可手动或联动终场自动声、光报警；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17.能长期保存最后一次设定的数据比赛计时与进攻计时。</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142</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照明及记分系统辅材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含配电箱、动力电缆、信号线、电缆桥架、电源线、线管、线槽、电工胶布等。</w:t>
            </w:r>
            <w:r/>
          </w:p>
        </w:tc>
      </w:tr>
      <w:tr>
        <w:trPr>
          <w:trHeight w:val="90"/>
        </w:trPr>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143</w:t>
            </w:r>
            <w:r/>
          </w:p>
        </w:tc>
        <w:tc>
          <w:tcPr>
            <w:tcW w:w="167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照明及记分系统集成</w:t>
            </w:r>
            <w:r/>
          </w:p>
        </w:tc>
        <w:tc>
          <w:tcPr>
            <w:tcW w:w="76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安装调试费用，包括设备安装、设备调试、链路测试、信号测试、线缆打标、平台规划等。</w:t>
            </w:r>
            <w:r/>
          </w:p>
        </w:tc>
      </w:tr>
    </w:tbl>
    <w:p>
      <w:pPr>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40"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w:t>
      </w:r>
      <w:r>
        <w:rPr>
          <w:rFonts w:ascii="宋体" w:hAnsi="宋体" w:eastAsia="宋体" w:cs="宋体"/>
          <w:bCs w:val="0"/>
          <w:color w:val="000000"/>
          <w:sz w:val="24"/>
          <w:szCs w:val="24"/>
          <w:lang w:val="en-US" w:eastAsia="zh-CN"/>
        </w:rPr>
        <w:t xml:space="preserve">报价要求</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2.实施要求</w:t>
      </w:r>
      <w:r/>
    </w:p>
    <w:p>
      <w:pPr>
        <w:ind w:firstLine="480"/>
        <w:keepLines w:val="0"/>
        <w:keepNext w:val="0"/>
        <w:pageBreakBefore w:val="0"/>
        <w:spacing w:line="240" w:lineRule="auto"/>
        <w:widowControl w:val="off"/>
        <w:rPr>
          <w:rFonts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本项目信息化设备采购及安装与南京市人民中学体育馆改造工程存在交叉施工，涉及管线预埋、穿管等工序衔接。供应商中标后在进场后需主动与主体工程施工单位对接协调，确保穿管布线等与土建进度同步配合，避免返工，保障项目整体按期交付。</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②供应商应及时与采购人联系，对本项目所有产品的规格尺寸、款式、颜色等要求进一步确认，得到采购人的签字盖章认可后方可生产，并确保产品质量。所有产品进场需要先向学校报备，签设备进场报验单。</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要求。交货时所有货物应完好，物品配件齐全，否则视为不合格产品。</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（3）验收要求</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（4）质保（维保）及售后要求</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①本项目整体质保期三年（自验收合格之日起，进入质保期）。质保期内，每年维护保养1次，维护保养及更换损坏件的费用包含在投标总价中。</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fldChar w:fldCharType="begin"/>
      </w:r>
      <w:r>
        <w:rPr>
          <w:rFonts w:hint="eastAsia" w:ascii="宋体" w:hAnsi="宋体" w:eastAsia="宋体" w:cs="宋体"/>
          <w:bCs w:val="0"/>
          <w:color w:val="000000"/>
          <w:sz w:val="24"/>
          <w:szCs w:val="24"/>
          <w:lang w:val="en-US" w:eastAsia="zh-CN"/>
        </w:rPr>
        <w:instrText xml:space="preserve"> = 3 \* GB3 \* MERGEFORMAT </w:instrText>
      </w:r>
      <w:r>
        <w:rPr>
          <w:rFonts w:hint="eastAsia" w:ascii="宋体" w:hAnsi="宋体" w:eastAsia="宋体" w:cs="宋体"/>
          <w:bCs w:val="0"/>
          <w:color w:val="000000"/>
          <w:sz w:val="24"/>
          <w:szCs w:val="24"/>
          <w:lang w:val="en-US" w:eastAsia="zh-CN"/>
        </w:rPr>
        <w:fldChar w:fldCharType="separate"/>
      </w:r>
      <w:r>
        <w:rPr>
          <w:rFonts w:hint="eastAsia"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fldChar w:fldCharType="end"/>
      </w:r>
      <w:r>
        <w:rPr>
          <w:rFonts w:hint="eastAsia" w:ascii="宋体" w:hAnsi="宋体" w:eastAsia="宋体" w:cs="宋体"/>
          <w:bCs w:val="0"/>
          <w:color w:val="000000"/>
          <w:sz w:val="24"/>
          <w:szCs w:val="24"/>
          <w:lang w:val="en-US" w:eastAsia="zh-CN"/>
        </w:rPr>
        <w:t xml:space="preserve">质保期内维修（人为因素除外）费用包含在投标总价中，质保期外提供不高于市场价格的终身维护。中标后提供质保期外配件价格明细表。</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（5）培训要求</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供应商对使用单位采购设备的使用和维护提供培训，培训的内容包括设备和软件的安装、使用以及软硬件基本维护知识。培训使用单位管理人员不少于2人、人均培训不少于6课时。</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（6）实施人员要求</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①本项目实施人员不少于4人，其中项目负责人1人。</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②项目实施中供应商要保证项目负责人稳定，如遇项目负责人变更，须及时递交变更报告，采购人有权要求继任项目负责人知识水平不低于原项目负责人。</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3.付款条件</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以第三章合同文本内容为准。</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4.交付时间及地点</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（1）交付时间：合同签订后120天内交付并完成安装调试及验收等相关工作。</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（2）交付地点：采购人指定地点。</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5.履约保证金</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以第三章合同文本</w:t>
      </w:r>
      <w:r>
        <w:rPr>
          <w:rFonts w:hint="eastAsia" w:ascii="宋体" w:hAnsi="宋体" w:eastAsia="宋体" w:cs="宋体"/>
          <w:bCs w:val="0"/>
          <w:color w:val="000000"/>
          <w:sz w:val="24"/>
          <w:szCs w:val="24"/>
          <w:lang w:val="en-US" w:eastAsia="zh-CN"/>
        </w:rPr>
        <w:t xml:space="preserve">内容</w:t>
      </w:r>
      <w:r>
        <w:rPr>
          <w:rFonts w:ascii="宋体" w:hAnsi="宋体" w:eastAsia="宋体" w:cs="宋体"/>
          <w:bCs w:val="0"/>
          <w:color w:val="000000"/>
          <w:sz w:val="24"/>
          <w:szCs w:val="24"/>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bookmarkEnd w:id="196"/>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w:t>
      </w:r>
      <w:r>
        <w:rPr>
          <w:rFonts w:hint="eastAsia" w:ascii="宋体" w:hAnsi="宋体" w:eastAsia="宋体" w:cs="宋体"/>
          <w:bCs w:val="0"/>
          <w:color w:val="auto"/>
          <w:sz w:val="24"/>
          <w:szCs w:val="24"/>
          <w:lang w:val="en-US" w:eastAsia="zh-CN"/>
        </w:rPr>
        <w:t xml:space="preserve">上述证明材料原件供采购人核验。</w:t>
      </w:r>
      <w:r/>
    </w:p>
    <w:p>
      <w:pPr>
        <w:ind w:firstLine="480"/>
        <w:spacing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rPr>
          <w:rFonts w:hint="default" w:ascii="宋体" w:hAnsi="宋体" w:eastAsia="宋体" w:cs="宋体"/>
          <w:color w:val="auto"/>
          <w:sz w:val="24"/>
          <w:szCs w:val="24"/>
          <w:lang w:val="en-US" w:eastAsia="zh-CN"/>
        </w:rPr>
        <w:t xml:space="preserve">分包要求</w:t>
      </w:r>
      <w:r/>
    </w:p>
    <w:p>
      <w:pPr>
        <w:ind w:firstLine="480"/>
        <w:keepLines w:val="0"/>
        <w:keepNext w:val="0"/>
        <w:pageBreakBefore w:val="0"/>
        <w:spacing w:line="240" w:lineRule="auto"/>
        <w:widowControl w:val="off"/>
        <w:rPr>
          <w:rFonts w:hint="eastAsia" w:ascii="宋体" w:hAnsi="宋体" w:eastAsia="宋体" w:cs="宋体"/>
          <w:i w:val="0"/>
          <w:iCs w:val="0"/>
          <w:caps w:val="0"/>
          <w:color w:val="auto"/>
          <w:spacing w:val="0"/>
          <w:sz w:val="24"/>
          <w:szCs w:val="24"/>
          <w:shd w:val="clear" w:color="auto" w:fill="auto"/>
          <w:lang w:val="en-US" w:eastAsia="zh-CN"/>
        </w:rPr>
      </w:pPr>
      <w:r>
        <w:rPr>
          <w:rFonts w:hint="eastAsia" w:ascii="宋体" w:hAnsi="宋体" w:eastAsia="宋体" w:cs="宋体"/>
          <w:i w:val="0"/>
          <w:iCs w:val="0"/>
          <w:caps w:val="0"/>
          <w:color w:val="auto"/>
          <w:spacing w:val="0"/>
          <w:sz w:val="24"/>
          <w:szCs w:val="24"/>
          <w:shd w:val="clear" w:color="auto" w:fill="auto"/>
          <w:lang w:val="en-US" w:eastAsia="zh-CN"/>
        </w:rPr>
        <w:t xml:space="preserve">本项目以下非主体、非关键部分的内容允许分包：</w:t>
      </w:r>
      <w:r/>
    </w:p>
    <w:tbl>
      <w:tblPr>
        <w:tblStyle w:val="721"/>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6"/>
        <w:gridCol w:w="2687"/>
        <w:gridCol w:w="2289"/>
      </w:tblGrid>
      <w:tr>
        <w:trPr>
          <w:jc w:val="center"/>
          <w:trHeight w:val="356"/>
        </w:trPr>
        <w:tc>
          <w:tcPr>
            <w:tcW w:w="4586"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aps w:val="0"/>
                <w:color w:val="auto"/>
                <w:spacing w:val="0"/>
                <w:sz w:val="24"/>
                <w:szCs w:val="24"/>
                <w:shd w:val="clear" w:color="auto" w:fill="auto"/>
                <w:vertAlign w:val="baseline"/>
                <w:lang w:val="en-US" w:eastAsia="zh-CN"/>
              </w:rPr>
            </w:pPr>
            <w:r>
              <w:rPr>
                <w:rFonts w:hint="eastAsia" w:ascii="宋体" w:hAnsi="宋体" w:eastAsia="宋体" w:cs="宋体"/>
                <w:i w:val="0"/>
                <w:iCs w:val="0"/>
                <w:caps w:val="0"/>
                <w:color w:val="auto"/>
                <w:spacing w:val="0"/>
                <w:sz w:val="24"/>
                <w:szCs w:val="24"/>
                <w:shd w:val="clear" w:color="auto" w:fill="auto"/>
                <w:lang w:val="en-US" w:eastAsia="zh-CN"/>
              </w:rPr>
              <w:t xml:space="preserve">允许分包履行的标的内容</w:t>
            </w:r>
            <w:r/>
          </w:p>
        </w:tc>
        <w:tc>
          <w:tcPr>
            <w:tcW w:w="2687"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aps w:val="0"/>
                <w:color w:val="auto"/>
                <w:spacing w:val="0"/>
                <w:sz w:val="24"/>
                <w:szCs w:val="24"/>
                <w:shd w:val="clear" w:color="auto" w:fill="auto"/>
                <w:lang w:val="en-US" w:eastAsia="zh-CN"/>
              </w:rPr>
            </w:pPr>
            <w:r>
              <w:rPr>
                <w:rFonts w:hint="eastAsia" w:ascii="宋体" w:hAnsi="宋体" w:eastAsia="宋体" w:cs="宋体"/>
                <w:i w:val="0"/>
                <w:iCs w:val="0"/>
                <w:caps w:val="0"/>
                <w:color w:val="auto"/>
                <w:spacing w:val="0"/>
                <w:sz w:val="24"/>
                <w:szCs w:val="24"/>
                <w:shd w:val="clear" w:color="auto" w:fill="auto"/>
                <w:lang w:val="en-US" w:eastAsia="zh-CN"/>
              </w:rPr>
              <w:t xml:space="preserve">分包承担主体资质要求</w:t>
            </w:r>
            <w:r/>
          </w:p>
        </w:tc>
        <w:tc>
          <w:tcPr>
            <w:tcW w:w="228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i w:val="0"/>
                <w:iCs w:val="0"/>
                <w:caps w:val="0"/>
                <w:color w:val="auto"/>
                <w:spacing w:val="0"/>
                <w:sz w:val="24"/>
                <w:szCs w:val="24"/>
                <w:shd w:val="clear" w:color="auto" w:fill="auto"/>
                <w:vertAlign w:val="baseline"/>
                <w:lang w:val="en-US" w:eastAsia="zh-CN"/>
              </w:rPr>
            </w:pPr>
            <w:r>
              <w:rPr>
                <w:rFonts w:hint="eastAsia" w:ascii="宋体" w:hAnsi="宋体" w:eastAsia="宋体" w:cs="宋体"/>
                <w:i w:val="0"/>
                <w:iCs w:val="0"/>
                <w:caps w:val="0"/>
                <w:color w:val="auto"/>
                <w:spacing w:val="0"/>
                <w:sz w:val="24"/>
                <w:szCs w:val="24"/>
                <w:shd w:val="clear" w:color="auto" w:fill="auto"/>
                <w:lang w:val="en-US" w:eastAsia="zh-CN"/>
              </w:rPr>
              <w:t xml:space="preserve">中小企业划分标准所属行业</w:t>
            </w:r>
            <w:r/>
          </w:p>
        </w:tc>
      </w:tr>
      <w:tr>
        <w:trPr>
          <w:jc w:val="center"/>
          <w:trHeight w:val="365"/>
        </w:trPr>
        <w:tc>
          <w:tcPr>
            <w:tcW w:w="4586"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i w:val="0"/>
                <w:iCs w:val="0"/>
                <w:caps w:val="0"/>
                <w:color w:val="auto"/>
                <w:spacing w:val="0"/>
                <w:sz w:val="24"/>
                <w:szCs w:val="24"/>
                <w:shd w:val="clear" w:color="auto" w:fill="auto"/>
                <w:vertAlign w:val="baseline"/>
                <w:lang w:val="en-US" w:eastAsia="zh-CN"/>
              </w:rPr>
            </w:pPr>
            <w:r>
              <w:rPr>
                <w:rFonts w:hint="eastAsia" w:ascii="宋体" w:hAnsi="宋体" w:cs="宋体"/>
                <w:bCs/>
                <w:color w:val="auto"/>
                <w:sz w:val="24"/>
                <w:szCs w:val="24"/>
                <w:lang w:val="en-US" w:eastAsia="zh-CN"/>
              </w:rPr>
              <w:t xml:space="preserve">项目清单</w:t>
            </w:r>
            <w:r>
              <w:rPr>
                <w:rFonts w:hint="eastAsia" w:ascii="宋体" w:hAnsi="宋体" w:eastAsia="宋体" w:cs="宋体"/>
                <w:bCs/>
                <w:color w:val="auto"/>
                <w:sz w:val="24"/>
                <w:szCs w:val="24"/>
                <w:lang w:val="en-US" w:eastAsia="zh-CN"/>
              </w:rPr>
              <w:t xml:space="preserve">序号15：墙面管路预埋</w:t>
            </w:r>
            <w:r/>
          </w:p>
        </w:tc>
        <w:tc>
          <w:tcPr>
            <w:tcW w:w="2687"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i w:val="0"/>
                <w:iCs w:val="0"/>
                <w:caps w:val="0"/>
                <w:color w:val="auto"/>
                <w:spacing w:val="0"/>
                <w:sz w:val="24"/>
                <w:szCs w:val="24"/>
                <w:shd w:val="clear" w:color="auto" w:fill="auto"/>
                <w:vertAlign w:val="baseline"/>
                <w:lang w:val="en-US" w:eastAsia="zh-CN"/>
              </w:rPr>
            </w:pPr>
            <w:r>
              <w:rPr>
                <w:rFonts w:hint="eastAsia" w:ascii="宋体" w:hAnsi="宋体" w:eastAsia="宋体" w:cs="Times New Roman"/>
                <w:color w:val="auto"/>
                <w:sz w:val="24"/>
                <w:szCs w:val="24"/>
                <w:highlight w:val="none"/>
                <w:lang w:val="zh-CN" w:eastAsia="zh-CN"/>
              </w:rPr>
              <w:t xml:space="preserve">有效期内</w:t>
            </w:r>
            <w:r>
              <w:rPr>
                <w:rFonts w:hint="eastAsia" w:ascii="宋体" w:hAnsi="宋体" w:eastAsia="宋体" w:cs="Times New Roman"/>
                <w:color w:val="auto"/>
                <w:sz w:val="24"/>
                <w:szCs w:val="24"/>
                <w:highlight w:val="none"/>
                <w:lang w:val="en-US" w:eastAsia="zh-CN"/>
              </w:rPr>
              <w:t xml:space="preserve">电子与智能化</w:t>
            </w:r>
            <w:r>
              <w:rPr>
                <w:rFonts w:hint="eastAsia" w:ascii="宋体" w:hAnsi="宋体" w:eastAsia="宋体" w:cs="Times New Roman"/>
                <w:color w:val="auto"/>
                <w:sz w:val="24"/>
                <w:szCs w:val="24"/>
                <w:highlight w:val="none"/>
                <w:lang w:val="zh-CN" w:eastAsia="zh-CN"/>
              </w:rPr>
              <w:t xml:space="preserve">工程专业承包二级及以上</w:t>
            </w:r>
            <w:r>
              <w:rPr>
                <w:rFonts w:hint="eastAsia" w:ascii="宋体" w:hAnsi="宋体" w:eastAsia="宋体" w:cs="Times New Roman"/>
                <w:color w:val="auto"/>
                <w:sz w:val="24"/>
                <w:szCs w:val="24"/>
                <w:highlight w:val="none"/>
                <w:lang w:val="en-US" w:eastAsia="zh-CN"/>
              </w:rPr>
              <w:t xml:space="preserve">资质证书</w:t>
            </w:r>
            <w:r/>
          </w:p>
        </w:tc>
        <w:tc>
          <w:tcPr>
            <w:tcW w:w="2289"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aps w:val="0"/>
                <w:color w:val="auto"/>
                <w:spacing w:val="0"/>
                <w:sz w:val="24"/>
                <w:szCs w:val="24"/>
                <w:shd w:val="clear" w:color="auto" w:fill="auto"/>
                <w:vertAlign w:val="baseline"/>
                <w:lang w:val="en-US" w:eastAsia="zh-CN"/>
              </w:rPr>
            </w:pPr>
            <w:r>
              <w:rPr>
                <w:rFonts w:hint="eastAsia" w:ascii="宋体" w:hAnsi="宋体" w:eastAsia="宋体" w:cs="宋体"/>
                <w:i w:val="0"/>
                <w:iCs w:val="0"/>
                <w:caps w:val="0"/>
                <w:color w:val="auto"/>
                <w:spacing w:val="0"/>
                <w:sz w:val="24"/>
                <w:szCs w:val="24"/>
                <w:shd w:val="clear" w:color="auto" w:fill="auto"/>
                <w:vertAlign w:val="baseline"/>
                <w:lang w:val="en-US" w:eastAsia="zh-CN"/>
              </w:rPr>
              <w:t xml:space="preserve">建筑业</w:t>
            </w:r>
            <w:r/>
          </w:p>
        </w:tc>
      </w:tr>
    </w:tbl>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cs="宋体"/>
          <w:i w:val="0"/>
          <w:iCs w:val="0"/>
          <w:caps w:val="0"/>
          <w:color w:val="auto"/>
          <w:spacing w:val="0"/>
          <w:sz w:val="24"/>
          <w:szCs w:val="24"/>
          <w:shd w:val="clear" w:color="auto" w:fill="auto"/>
          <w:lang w:val="en-US" w:eastAsia="zh-CN"/>
        </w:rPr>
        <w:t xml:space="preserve">供应商</w:t>
      </w:r>
      <w:r>
        <w:rPr>
          <w:rFonts w:hint="eastAsia" w:ascii="宋体" w:hAnsi="宋体" w:eastAsia="宋体" w:cs="宋体"/>
          <w:i w:val="0"/>
          <w:iCs w:val="0"/>
          <w:caps w:val="0"/>
          <w:color w:val="auto"/>
          <w:spacing w:val="0"/>
          <w:sz w:val="24"/>
          <w:szCs w:val="24"/>
          <w:shd w:val="clear" w:color="auto" w:fill="auto"/>
        </w:rPr>
        <w:t xml:space="preserve">拟在中标后将中标项目的非主体、非关键性工作分包的，应当在</w:t>
      </w:r>
      <w:r>
        <w:rPr>
          <w:rFonts w:hint="eastAsia" w:ascii="宋体" w:hAnsi="宋体" w:eastAsia="宋体" w:cs="宋体"/>
          <w:i w:val="0"/>
          <w:iCs w:val="0"/>
          <w:caps w:val="0"/>
          <w:color w:val="auto"/>
          <w:spacing w:val="0"/>
          <w:sz w:val="24"/>
          <w:szCs w:val="24"/>
          <w:shd w:val="clear" w:color="auto" w:fill="auto"/>
          <w:lang w:val="en-US" w:eastAsia="zh-CN"/>
        </w:rPr>
        <w:t xml:space="preserve">投标文件中提供分包情况说明及分包意向协议</w:t>
      </w:r>
      <w:r>
        <w:rPr>
          <w:rFonts w:hint="eastAsia" w:ascii="宋体" w:hAnsi="宋体" w:eastAsia="宋体" w:cs="宋体"/>
          <w:i w:val="0"/>
          <w:iCs w:val="0"/>
          <w:caps w:val="0"/>
          <w:color w:val="auto"/>
          <w:spacing w:val="0"/>
          <w:sz w:val="24"/>
          <w:szCs w:val="24"/>
          <w:shd w:val="clear" w:color="auto" w:fill="auto"/>
          <w:lang w:eastAsia="zh-CN"/>
        </w:rPr>
        <w:t xml:space="preserve">（</w:t>
      </w:r>
      <w:r>
        <w:rPr>
          <w:rFonts w:hint="eastAsia" w:ascii="宋体" w:hAnsi="宋体" w:eastAsia="宋体" w:cs="宋体"/>
          <w:i w:val="0"/>
          <w:iCs w:val="0"/>
          <w:caps w:val="0"/>
          <w:color w:val="auto"/>
          <w:spacing w:val="0"/>
          <w:sz w:val="24"/>
          <w:szCs w:val="24"/>
          <w:shd w:val="clear" w:color="auto" w:fill="auto"/>
          <w:lang w:val="en-US" w:eastAsia="zh-CN"/>
        </w:rPr>
        <w:t xml:space="preserve">格式见第六章</w:t>
      </w:r>
      <w:r>
        <w:rPr>
          <w:rFonts w:hint="eastAsia" w:ascii="宋体" w:hAnsi="宋体" w:eastAsia="宋体" w:cs="宋体"/>
          <w:i w:val="0"/>
          <w:iCs w:val="0"/>
          <w:caps w:val="0"/>
          <w:color w:val="auto"/>
          <w:spacing w:val="0"/>
          <w:sz w:val="24"/>
          <w:szCs w:val="24"/>
          <w:shd w:val="clear" w:color="auto" w:fill="auto"/>
          <w:lang w:eastAsia="zh-CN"/>
        </w:rPr>
        <w:t xml:space="preserve">），</w:t>
      </w:r>
      <w:r>
        <w:rPr>
          <w:rFonts w:hint="eastAsia" w:ascii="宋体" w:hAnsi="宋体" w:eastAsia="宋体" w:cs="宋体"/>
          <w:i w:val="0"/>
          <w:iCs w:val="0"/>
          <w:caps w:val="0"/>
          <w:color w:val="auto"/>
          <w:spacing w:val="0"/>
          <w:sz w:val="24"/>
          <w:szCs w:val="24"/>
          <w:shd w:val="clear" w:color="auto" w:fill="auto"/>
        </w:rPr>
        <w:t xml:space="preserve">载明分包</w:t>
      </w:r>
      <w:r>
        <w:rPr>
          <w:rFonts w:hint="eastAsia" w:ascii="宋体" w:hAnsi="宋体" w:eastAsia="宋体" w:cs="宋体"/>
          <w:i w:val="0"/>
          <w:iCs w:val="0"/>
          <w:caps w:val="0"/>
          <w:color w:val="auto"/>
          <w:spacing w:val="0"/>
          <w:sz w:val="24"/>
          <w:szCs w:val="24"/>
          <w:shd w:val="clear" w:color="auto" w:fill="auto"/>
          <w:lang w:val="en-US" w:eastAsia="zh-CN"/>
        </w:rPr>
        <w:t xml:space="preserve">内容和</w:t>
      </w:r>
      <w:r>
        <w:rPr>
          <w:rFonts w:hint="eastAsia" w:ascii="宋体" w:hAnsi="宋体" w:eastAsia="宋体" w:cs="宋体"/>
          <w:i w:val="0"/>
          <w:iCs w:val="0"/>
          <w:caps w:val="0"/>
          <w:color w:val="auto"/>
          <w:spacing w:val="0"/>
          <w:sz w:val="24"/>
          <w:szCs w:val="24"/>
          <w:shd w:val="clear" w:color="auto" w:fill="auto"/>
        </w:rPr>
        <w:t xml:space="preserve">承担主体，分包承担主体应当具备相应资质</w:t>
      </w:r>
      <w:r>
        <w:rPr>
          <w:rFonts w:hint="eastAsia" w:ascii="宋体" w:hAnsi="宋体" w:eastAsia="宋体" w:cs="宋体"/>
          <w:i w:val="0"/>
          <w:iCs w:val="0"/>
          <w:caps w:val="0"/>
          <w:color w:val="auto"/>
          <w:spacing w:val="0"/>
          <w:sz w:val="24"/>
          <w:szCs w:val="24"/>
          <w:shd w:val="clear" w:color="auto" w:fill="auto"/>
          <w:lang w:val="en-US" w:eastAsia="zh-CN"/>
        </w:rPr>
        <w:t xml:space="preserve">和能力</w:t>
      </w:r>
      <w:r>
        <w:rPr>
          <w:rFonts w:hint="eastAsia" w:ascii="宋体" w:hAnsi="宋体" w:eastAsia="宋体" w:cs="宋体"/>
          <w:i w:val="0"/>
          <w:iCs w:val="0"/>
          <w:caps w:val="0"/>
          <w:color w:val="auto"/>
          <w:spacing w:val="0"/>
          <w:sz w:val="24"/>
          <w:szCs w:val="24"/>
          <w:shd w:val="clear" w:color="auto" w:fill="auto"/>
        </w:rPr>
        <w:t xml:space="preserve">且不得再次分包</w:t>
      </w:r>
      <w:r>
        <w:rPr>
          <w:rFonts w:hint="eastAsia" w:ascii="宋体" w:hAnsi="宋体" w:eastAsia="宋体" w:cs="宋体"/>
          <w:color w:val="auto"/>
          <w:sz w:val="24"/>
          <w:szCs w:val="24"/>
          <w:lang w:val="en-US" w:eastAsia="zh-CN"/>
        </w:rPr>
        <w:t xml:space="preserve">。</w:t>
      </w:r>
      <w:r>
        <w:rPr>
          <w:rFonts w:hint="eastAsia" w:ascii="宋体" w:hAnsi="宋体" w:eastAsia="宋体" w:cs="宋体"/>
          <w:i w:val="0"/>
          <w:iCs w:val="0"/>
          <w:caps w:val="0"/>
          <w:color w:val="auto"/>
          <w:spacing w:val="0"/>
          <w:sz w:val="24"/>
          <w:szCs w:val="24"/>
          <w:shd w:val="clear" w:color="auto" w:fill="auto"/>
        </w:rPr>
        <w:t xml:space="preserve">中标</w:t>
      </w:r>
      <w:r>
        <w:rPr>
          <w:rFonts w:hint="eastAsia" w:ascii="宋体" w:hAnsi="宋体" w:cs="宋体"/>
          <w:i w:val="0"/>
          <w:iCs w:val="0"/>
          <w:caps w:val="0"/>
          <w:color w:val="auto"/>
          <w:spacing w:val="0"/>
          <w:sz w:val="24"/>
          <w:szCs w:val="24"/>
          <w:shd w:val="clear" w:color="auto" w:fill="auto"/>
          <w:lang w:val="en-US" w:eastAsia="zh-CN"/>
        </w:rPr>
        <w:t xml:space="preserve">供应商</w:t>
      </w:r>
      <w:r>
        <w:rPr>
          <w:rFonts w:hint="eastAsia" w:ascii="宋体" w:hAnsi="宋体" w:eastAsia="宋体" w:cs="宋体"/>
          <w:i w:val="0"/>
          <w:iCs w:val="0"/>
          <w:caps w:val="0"/>
          <w:color w:val="auto"/>
          <w:spacing w:val="0"/>
          <w:sz w:val="24"/>
          <w:szCs w:val="24"/>
          <w:shd w:val="clear" w:color="auto" w:fill="auto"/>
        </w:rPr>
        <w:t xml:space="preserve">对采购项目</w:t>
      </w:r>
      <w:r>
        <w:rPr>
          <w:rFonts w:hint="eastAsia" w:ascii="宋体" w:hAnsi="宋体" w:eastAsia="宋体" w:cs="宋体"/>
          <w:i w:val="0"/>
          <w:iCs w:val="0"/>
          <w:caps w:val="0"/>
          <w:color w:val="auto"/>
          <w:spacing w:val="0"/>
          <w:sz w:val="24"/>
          <w:szCs w:val="24"/>
          <w:shd w:val="clear" w:color="auto" w:fill="auto"/>
          <w:lang w:val="en-US" w:eastAsia="zh-CN"/>
        </w:rPr>
        <w:t xml:space="preserve">向</w:t>
      </w:r>
      <w:r>
        <w:rPr>
          <w:rFonts w:hint="eastAsia" w:ascii="宋体" w:hAnsi="宋体" w:eastAsia="宋体" w:cs="宋体"/>
          <w:i w:val="0"/>
          <w:iCs w:val="0"/>
          <w:caps w:val="0"/>
          <w:color w:val="auto"/>
          <w:spacing w:val="0"/>
          <w:sz w:val="24"/>
          <w:szCs w:val="24"/>
          <w:shd w:val="clear" w:color="auto" w:fill="auto"/>
        </w:rPr>
        <w:t xml:space="preserve">采购人负责</w:t>
      </w:r>
      <w:r>
        <w:rPr>
          <w:rFonts w:hint="eastAsia" w:ascii="宋体" w:hAnsi="宋体" w:eastAsia="宋体" w:cs="宋体"/>
          <w:i w:val="0"/>
          <w:iCs w:val="0"/>
          <w:caps w:val="0"/>
          <w:color w:val="auto"/>
          <w:spacing w:val="0"/>
          <w:sz w:val="24"/>
          <w:szCs w:val="24"/>
          <w:shd w:val="clear" w:color="auto" w:fill="auto"/>
          <w:lang w:eastAsia="zh-CN"/>
        </w:rPr>
        <w:t xml:space="preserve">，</w:t>
      </w:r>
      <w:r>
        <w:rPr>
          <w:rFonts w:hint="eastAsia" w:ascii="宋体" w:hAnsi="宋体" w:eastAsia="宋体" w:cs="宋体"/>
          <w:i w:val="0"/>
          <w:iCs w:val="0"/>
          <w:caps w:val="0"/>
          <w:color w:val="auto"/>
          <w:spacing w:val="0"/>
          <w:sz w:val="24"/>
          <w:szCs w:val="24"/>
          <w:shd w:val="clear" w:color="auto" w:fill="auto"/>
        </w:rPr>
        <w:t xml:space="preserve">如因分包导致合同无法履行或造成损失，中标</w:t>
      </w:r>
      <w:r>
        <w:rPr>
          <w:rFonts w:hint="eastAsia" w:ascii="宋体" w:hAnsi="宋体" w:cs="宋体"/>
          <w:i w:val="0"/>
          <w:iCs w:val="0"/>
          <w:caps w:val="0"/>
          <w:color w:val="auto"/>
          <w:spacing w:val="0"/>
          <w:sz w:val="24"/>
          <w:szCs w:val="24"/>
          <w:shd w:val="clear" w:color="auto" w:fill="auto"/>
          <w:lang w:val="en-US" w:eastAsia="zh-CN"/>
        </w:rPr>
        <w:t xml:space="preserve">供应商</w:t>
      </w:r>
      <w:r>
        <w:rPr>
          <w:rFonts w:hint="eastAsia" w:ascii="宋体" w:hAnsi="宋体" w:eastAsia="宋体" w:cs="宋体"/>
          <w:i w:val="0"/>
          <w:iCs w:val="0"/>
          <w:caps w:val="0"/>
          <w:color w:val="auto"/>
          <w:spacing w:val="0"/>
          <w:sz w:val="24"/>
          <w:szCs w:val="24"/>
          <w:shd w:val="clear" w:color="auto" w:fill="auto"/>
        </w:rPr>
        <w:t xml:space="preserve">和分包</w:t>
      </w:r>
      <w:r>
        <w:rPr>
          <w:rFonts w:hint="eastAsia" w:ascii="宋体" w:hAnsi="宋体" w:eastAsia="宋体" w:cs="宋体"/>
          <w:i w:val="0"/>
          <w:iCs w:val="0"/>
          <w:caps w:val="0"/>
          <w:color w:val="auto"/>
          <w:spacing w:val="0"/>
          <w:sz w:val="24"/>
          <w:szCs w:val="24"/>
          <w:shd w:val="clear" w:color="auto" w:fill="auto"/>
          <w:lang w:val="en-US" w:eastAsia="zh-CN"/>
        </w:rPr>
        <w:t xml:space="preserve">承担主体</w:t>
      </w:r>
      <w:r>
        <w:rPr>
          <w:rFonts w:hint="eastAsia" w:ascii="宋体" w:hAnsi="宋体" w:eastAsia="宋体" w:cs="宋体"/>
          <w:i w:val="0"/>
          <w:iCs w:val="0"/>
          <w:caps w:val="0"/>
          <w:color w:val="auto"/>
          <w:spacing w:val="0"/>
          <w:sz w:val="24"/>
          <w:szCs w:val="24"/>
          <w:shd w:val="clear" w:color="auto" w:fill="auto"/>
        </w:rPr>
        <w:t xml:space="preserve">需承担连带赔偿责任</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shd w:val="clear" w:color="auto" w:fill="auto"/>
          <w:lang w:val="en-US" w:eastAsia="zh-CN"/>
        </w:rPr>
      </w:pPr>
      <w:r>
        <w:rPr>
          <w:rFonts w:hint="eastAsia" w:ascii="宋体" w:hAnsi="宋体" w:eastAsia="宋体" w:cs="宋体"/>
          <w:bCs w:val="0"/>
          <w:color w:val="auto"/>
          <w:sz w:val="24"/>
          <w:szCs w:val="24"/>
          <w:shd w:val="clear" w:color="auto" w:fill="auto"/>
          <w:lang w:val="en-US" w:eastAsia="zh-CN"/>
        </w:rPr>
      </w:r>
      <w:r/>
    </w:p>
    <w:p>
      <w:pPr>
        <w:ind w:firstLine="480"/>
        <w:keepLines w:val="0"/>
        <w:keepNext w:val="0"/>
        <w:pageBreakBefore w:val="0"/>
        <w:spacing w:line="240" w:lineRule="auto"/>
        <w:widowControl w:val="off"/>
        <w:rPr>
          <w:rFonts w:hint="eastAsia" w:ascii="宋体" w:hAnsi="宋体" w:eastAsia="宋体" w:cs="宋体"/>
          <w:color w:val="auto"/>
          <w:sz w:val="24"/>
          <w:szCs w:val="24"/>
          <w:shd w:val="clear" w:color="auto" w:fill="auto"/>
        </w:rPr>
      </w:pPr>
      <w:r>
        <w:rPr>
          <w:rFonts w:hint="eastAsia" w:ascii="宋体" w:hAnsi="宋体" w:eastAsia="宋体" w:cs="宋体"/>
          <w:bCs w:val="0"/>
          <w:color w:val="auto"/>
          <w:sz w:val="24"/>
          <w:szCs w:val="24"/>
          <w:shd w:val="clear" w:color="auto" w:fill="auto"/>
          <w:lang w:val="en-US" w:eastAsia="zh-CN"/>
        </w:rPr>
        <w:t xml:space="preserve">（三）</w:t>
      </w:r>
      <w:r>
        <w:rPr>
          <w:rFonts w:hint="eastAsia" w:ascii="宋体" w:hAnsi="宋体" w:eastAsia="宋体" w:cs="宋体"/>
          <w:color w:val="auto"/>
          <w:sz w:val="24"/>
          <w:szCs w:val="24"/>
          <w:shd w:val="clear" w:color="auto" w:fill="auto"/>
        </w:rPr>
        <w:t xml:space="preserve">演示要求</w:t>
      </w:r>
      <w:r/>
    </w:p>
    <w:p>
      <w:pPr>
        <w:ind w:firstLine="480"/>
        <w:keepLines w:val="0"/>
        <w:keepNext w:val="0"/>
        <w:pageBreakBefore w:val="0"/>
        <w:spacing w:line="240" w:lineRule="auto"/>
        <w:widowControl w:val="off"/>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 xml:space="preserve">1.</w:t>
      </w:r>
      <w:r>
        <w:rPr>
          <w:rFonts w:hint="eastAsia" w:ascii="宋体" w:hAnsi="宋体" w:eastAsia="宋体" w:cs="宋体"/>
          <w:color w:val="auto"/>
          <w:sz w:val="24"/>
          <w:szCs w:val="24"/>
          <w:shd w:val="clear" w:color="auto" w:fill="auto"/>
        </w:rPr>
        <w:t xml:space="preserve">视频文件的格式为*.mp4或*.avi</w:t>
      </w:r>
      <w:r>
        <w:rPr>
          <w:rFonts w:hint="eastAsia" w:ascii="宋体" w:hAnsi="宋体" w:eastAsia="宋体" w:cs="宋体"/>
          <w:color w:val="auto"/>
          <w:sz w:val="24"/>
          <w:szCs w:val="24"/>
          <w:shd w:val="clear" w:color="auto" w:fill="auto"/>
          <w:lang w:eastAsia="zh-CN"/>
        </w:rPr>
        <w:t xml:space="preserve">，供应商</w:t>
      </w:r>
      <w:r>
        <w:rPr>
          <w:rFonts w:hint="eastAsia" w:ascii="宋体" w:hAnsi="宋体" w:eastAsia="宋体" w:cs="宋体"/>
          <w:color w:val="auto"/>
          <w:sz w:val="24"/>
          <w:szCs w:val="24"/>
          <w:shd w:val="clear" w:color="auto" w:fill="auto"/>
        </w:rPr>
        <w:t xml:space="preserve">须将视频文件压缩为*.zip文件上传（</w:t>
      </w:r>
      <w:r>
        <w:rPr>
          <w:rFonts w:hint="eastAsia" w:ascii="宋体" w:hAnsi="宋体" w:eastAsia="宋体" w:cs="宋体"/>
          <w:b w:val="0"/>
          <w:bCs w:val="0"/>
          <w:color w:val="auto"/>
          <w:spacing w:val="0"/>
          <w:sz w:val="24"/>
          <w:szCs w:val="24"/>
          <w:shd w:val="clear" w:color="auto" w:fill="auto"/>
          <w:lang w:val="en-US" w:eastAsia="zh-CN"/>
        </w:rPr>
        <w:t xml:space="preserve">单个文件不得大于50M，大于50M的需分段压缩，所有文件合计不得大于300M</w:t>
      </w:r>
      <w:r>
        <w:rPr>
          <w:rFonts w:hint="eastAsia" w:ascii="宋体" w:hAnsi="宋体" w:eastAsia="宋体" w:cs="宋体"/>
          <w:color w:val="auto"/>
          <w:sz w:val="24"/>
          <w:szCs w:val="24"/>
          <w:shd w:val="clear" w:color="auto" w:fill="auto"/>
        </w:rPr>
        <w:t xml:space="preserve">）。文件上传方式见</w:t>
      </w:r>
      <w:r>
        <w:rPr>
          <w:rFonts w:hint="eastAsia" w:ascii="宋体" w:hAnsi="宋体" w:eastAsia="宋体" w:cs="宋体"/>
          <w:color w:val="auto"/>
          <w:sz w:val="24"/>
          <w:szCs w:val="24"/>
          <w:shd w:val="clear" w:color="auto" w:fill="auto"/>
          <w:lang w:val="en-US" w:eastAsia="zh-CN"/>
        </w:rPr>
        <w:t xml:space="preserve">苏采云系统操作指南</w:t>
      </w:r>
      <w:r>
        <w:rPr>
          <w:rFonts w:hint="eastAsia" w:ascii="宋体" w:hAnsi="宋体" w:eastAsia="宋体" w:cs="宋体"/>
          <w:color w:val="auto"/>
          <w:sz w:val="24"/>
          <w:szCs w:val="24"/>
          <w:shd w:val="clear" w:color="auto" w:fill="auto"/>
          <w:lang w:eastAsia="zh-CN"/>
        </w:rPr>
        <w:t xml:space="preserve">，</w:t>
      </w:r>
      <w:r>
        <w:rPr>
          <w:rFonts w:hint="eastAsia" w:ascii="宋体" w:hAnsi="宋体" w:eastAsia="宋体" w:cs="宋体"/>
          <w:color w:val="auto"/>
          <w:sz w:val="24"/>
          <w:szCs w:val="24"/>
          <w:shd w:val="clear" w:color="auto" w:fill="auto"/>
        </w:rPr>
        <w:t xml:space="preserve">上传的演示视频将作为投标文件的组成部分</w:t>
      </w:r>
      <w:r>
        <w:rPr>
          <w:rFonts w:hint="eastAsia" w:ascii="宋体" w:hAnsi="宋体" w:eastAsia="宋体" w:cs="宋体"/>
          <w:color w:val="auto"/>
          <w:sz w:val="24"/>
          <w:szCs w:val="24"/>
          <w:shd w:val="clear" w:color="auto" w:fill="auto"/>
          <w:lang w:eastAsia="zh-CN"/>
        </w:rPr>
        <w:t xml:space="preserve">。</w:t>
      </w:r>
      <w:r>
        <w:rPr>
          <w:rFonts w:hint="eastAsia" w:ascii="宋体" w:hAnsi="宋体" w:eastAsia="宋体" w:cs="宋体"/>
          <w:color w:val="auto"/>
          <w:sz w:val="24"/>
          <w:szCs w:val="24"/>
          <w:shd w:val="clear" w:color="auto" w:fill="auto"/>
        </w:rPr>
        <w:t xml:space="preserve">视频时长总计不超过</w:t>
      </w:r>
      <w:r>
        <w:rPr>
          <w:rFonts w:hint="eastAsia" w:ascii="宋体" w:hAnsi="宋体" w:cs="宋体"/>
          <w:color w:val="auto"/>
          <w:sz w:val="24"/>
          <w:szCs w:val="24"/>
          <w:shd w:val="clear" w:color="auto" w:fill="auto"/>
          <w:lang w:val="en-US" w:eastAsia="zh-CN"/>
        </w:rPr>
        <w:t xml:space="preserve">8</w:t>
      </w:r>
      <w:r>
        <w:rPr>
          <w:rFonts w:hint="eastAsia" w:ascii="宋体" w:hAnsi="宋体" w:eastAsia="宋体" w:cs="宋体"/>
          <w:color w:val="auto"/>
          <w:sz w:val="24"/>
          <w:szCs w:val="24"/>
          <w:shd w:val="clear" w:color="auto" w:fill="auto"/>
        </w:rPr>
        <w:t xml:space="preserve">分钟</w:t>
      </w:r>
      <w:r>
        <w:rPr>
          <w:rFonts w:hint="eastAsia" w:ascii="宋体" w:hAnsi="宋体" w:eastAsia="宋体" w:cs="宋体"/>
          <w:color w:val="auto"/>
          <w:sz w:val="24"/>
          <w:szCs w:val="24"/>
          <w:shd w:val="clear" w:color="auto" w:fill="auto"/>
          <w:lang w:eastAsia="zh-CN"/>
        </w:rPr>
        <w:t xml:space="preserve">。</w:t>
      </w:r>
      <w:r/>
    </w:p>
    <w:p>
      <w:pPr>
        <w:ind w:firstLine="480"/>
        <w:keepLines w:val="0"/>
        <w:keepNext w:val="0"/>
        <w:pageBreakBefore w:val="0"/>
        <w:spacing w:line="240" w:lineRule="auto"/>
        <w:widowControl w:val="off"/>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 xml:space="preserve">2.演示内容详见“第五章  评标方法与评标标准”。</w:t>
      </w:r>
      <w:r/>
    </w:p>
    <w:p>
      <w:pPr>
        <w:pStyle w:val="886"/>
        <w:rPr>
          <w:rFonts w:hint="eastAsia"/>
          <w:lang w:eastAsia="zh-CN"/>
        </w:rPr>
      </w:pPr>
      <w:r>
        <w:rPr>
          <w:rFonts w:hint="eastAsia"/>
          <w:lang w:eastAsia="zh-CN"/>
        </w:rPr>
      </w:r>
      <w:r/>
    </w:p>
    <w:p>
      <w:pPr>
        <w:rPr>
          <w:rFonts w:hint="eastAsia"/>
          <w:lang w:eastAsia="zh-CN"/>
        </w:rPr>
      </w:pPr>
      <w:r>
        <w:rPr>
          <w:rFonts w:hint="eastAsia"/>
          <w:lang w:eastAsia="zh-CN"/>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u w:val="none"/>
          <w:lang w:val="en-US" w:eastAsia="zh-CN"/>
        </w:rPr>
      </w:pPr>
      <w:r/>
      <w:bookmarkStart w:id="197" w:name="_Toc120614281"/>
      <w:r>
        <w:rPr>
          <w:rFonts w:hint="eastAsia" w:ascii="宋体" w:hAnsi="宋体" w:eastAsia="宋体" w:cs="宋体"/>
          <w:b/>
          <w:bCs/>
          <w:color w:val="auto"/>
          <w:sz w:val="24"/>
          <w:szCs w:val="24"/>
          <w:highlight w:val="none"/>
          <w:u w:val="none"/>
          <w:lang w:val="en-US" w:eastAsia="zh-CN"/>
        </w:rPr>
        <w:t xml:space="preserve">附件：1.人民中学学生实践活动中心图纸</w:t>
      </w:r>
      <w:r/>
    </w:p>
    <w:p>
      <w:pPr>
        <w:ind w:firstLine="480"/>
        <w:spacing w:line="288"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Icon" r:id="rId13" ObjectID="_1525040" ProgID="Package" ShapeID="_x0000_i0" Type="Embed"/>
        </w:objec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w:t>
      </w:r>
      <w:r>
        <w:rPr>
          <w:rFonts w:hint="eastAsia" w:ascii="宋体" w:hAnsi="宋体" w:eastAsia="宋体" w:cs="宋体"/>
          <w:color w:val="auto"/>
          <w:sz w:val="24"/>
          <w:szCs w:val="24"/>
          <w:highlight w:val="none"/>
          <w:lang w:eastAsia="zh-CN"/>
        </w:rPr>
        <w:t xml:space="preserve">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技术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lang w:eastAsia="zh-CN"/>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lang w:eastAsia="zh-CN"/>
        </w:rPr>
        <w:t xml:space="preserve">，按照评审得分</w:t>
      </w:r>
      <w:r>
        <w:rPr>
          <w:rFonts w:hint="eastAsia" w:ascii="宋体" w:hAnsi="宋体" w:eastAsia="宋体" w:cs="宋体"/>
          <w:color w:val="auto"/>
          <w:sz w:val="24"/>
          <w:szCs w:val="24"/>
          <w:lang w:val="en-US" w:eastAsia="zh-CN"/>
        </w:rPr>
        <w:t xml:space="preserve">由高到低推荐</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lang w:eastAsia="zh-CN"/>
        </w:rPr>
        <w:t xml:space="preserve">中标候选人。</w:t>
      </w:r>
      <w:r/>
    </w:p>
    <w:p>
      <w:pPr>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核心产品评审。多家供应商提供的核心产品品牌相同的，按一家供应商</w:t>
      </w:r>
      <w:r>
        <w:rPr>
          <w:rFonts w:hint="eastAsia" w:ascii="宋体" w:hAnsi="宋体" w:eastAsia="宋体" w:cs="宋体"/>
          <w:sz w:val="24"/>
          <w:szCs w:val="24"/>
          <w:lang w:eastAsia="zh-CN"/>
        </w:rPr>
        <w:t xml:space="preserve">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p>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40"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8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40"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序号</w:t>
            </w:r>
            <w:r/>
          </w:p>
        </w:tc>
        <w:tc>
          <w:tcPr>
            <w:tcW w:w="1179" w:type="dxa"/>
            <w:vAlign w:val="center"/>
            <w:textDirection w:val="lrTb"/>
            <w:noWrap w:val="false"/>
          </w:tcPr>
          <w:p>
            <w:pPr>
              <w:jc w:val="center"/>
              <w:keepLines w:val="0"/>
              <w:keepNext w:val="0"/>
              <w:pageBreakBefore w:val="0"/>
              <w:spacing w:before="122" w:line="240"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评审因素</w:t>
            </w:r>
            <w:r/>
          </w:p>
        </w:tc>
        <w:tc>
          <w:tcPr>
            <w:tcW w:w="6330" w:type="dxa"/>
            <w:vAlign w:val="center"/>
            <w:textDirection w:val="lrTb"/>
            <w:noWrap w:val="false"/>
          </w:tcPr>
          <w:p>
            <w:pPr>
              <w:jc w:val="center"/>
              <w:keepLines w:val="0"/>
              <w:keepNext w:val="0"/>
              <w:pageBreakBefore w:val="0"/>
              <w:spacing w:before="122" w:line="240"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评审细则</w:t>
            </w:r>
            <w:r/>
          </w:p>
        </w:tc>
        <w:tc>
          <w:tcPr>
            <w:tcW w:w="647" w:type="dxa"/>
            <w:vAlign w:val="center"/>
            <w:textDirection w:val="lrTb"/>
            <w:noWrap w:val="false"/>
          </w:tcPr>
          <w:p>
            <w:pPr>
              <w:jc w:val="center"/>
              <w:keepLines w:val="0"/>
              <w:keepNext w:val="0"/>
              <w:pageBreakBefore w:val="0"/>
              <w:spacing w:before="122" w:line="240"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分值</w:t>
            </w:r>
            <w:r/>
          </w:p>
        </w:tc>
        <w:tc>
          <w:tcPr>
            <w:tcW w:w="900" w:type="dxa"/>
            <w:vAlign w:val="center"/>
            <w:textDirection w:val="lrTb"/>
            <w:noWrap w:val="false"/>
          </w:tcPr>
          <w:p>
            <w:pPr>
              <w:jc w:val="center"/>
              <w:keepLines w:val="0"/>
              <w:keepNext w:val="0"/>
              <w:pageBreakBefore w:val="0"/>
              <w:spacing w:before="122" w:line="240"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40"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1.</w:t>
            </w:r>
            <w:r>
              <w:rPr>
                <w:rFonts w:hint="eastAsia" w:ascii="宋体" w:hAnsi="宋体" w:eastAsia="宋体" w:cs="宋体"/>
                <w:b/>
                <w:bCs/>
                <w:spacing w:val="-3"/>
                <w:sz w:val="24"/>
                <w:szCs w:val="24"/>
              </w:rPr>
              <w:t xml:space="preserve">价</w:t>
            </w:r>
            <w:r>
              <w:rPr>
                <w:rFonts w:hint="eastAsia" w:ascii="宋体" w:hAnsi="宋体" w:eastAsia="宋体" w:cs="宋体"/>
                <w:b/>
                <w:bCs/>
                <w:spacing w:val="-2"/>
                <w:sz w:val="24"/>
                <w:szCs w:val="24"/>
              </w:rPr>
              <w:t xml:space="preserve">格</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5"/>
                <w:sz w:val="24"/>
                <w:szCs w:val="24"/>
              </w:rPr>
              <w:t xml:space="preserve">.1</w:t>
            </w:r>
            <w:r/>
          </w:p>
        </w:tc>
        <w:tc>
          <w:tcPr>
            <w:tcW w:w="117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价格分</w:t>
            </w:r>
            <w:r/>
          </w:p>
        </w:tc>
        <w:tc>
          <w:tcPr>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pacing w:val="1"/>
                <w:sz w:val="24"/>
                <w:szCs w:val="24"/>
              </w:rPr>
              <w:t xml:space="preserve">采用低价优先</w:t>
            </w:r>
            <w:r>
              <w:rPr>
                <w:rFonts w:hint="eastAsia" w:ascii="宋体" w:hAnsi="宋体" w:eastAsia="宋体" w:cs="宋体"/>
                <w:sz w:val="24"/>
                <w:szCs w:val="24"/>
              </w:rPr>
              <w:t xml:space="preserve">法计算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即满足招标文件要求且投标价格最低的投标</w:t>
            </w:r>
            <w:r>
              <w:rPr>
                <w:rFonts w:hint="eastAsia" w:ascii="宋体" w:hAnsi="宋体" w:eastAsia="宋体" w:cs="宋体"/>
                <w:spacing w:val="1"/>
                <w:sz w:val="24"/>
                <w:szCs w:val="24"/>
              </w:rPr>
              <w:t xml:space="preserve">报价为评标基准</w:t>
            </w:r>
            <w:r>
              <w:rPr>
                <w:rFonts w:hint="eastAsia" w:ascii="宋体" w:hAnsi="宋体" w:eastAsia="宋体" w:cs="宋体"/>
                <w:sz w:val="24"/>
                <w:szCs w:val="24"/>
              </w:rPr>
              <w:t xml:space="preserve">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其价格分为满分。其他投标人的价格分统一按</w:t>
            </w:r>
            <w:r>
              <w:rPr>
                <w:rFonts w:hint="eastAsia" w:ascii="宋体" w:hAnsi="宋体" w:eastAsia="宋体" w:cs="宋体"/>
                <w:spacing w:val="-1"/>
                <w:sz w:val="24"/>
                <w:szCs w:val="24"/>
              </w:rPr>
              <w:t xml:space="preserve">照下列公</w:t>
            </w:r>
            <w:r>
              <w:rPr>
                <w:rFonts w:hint="eastAsia" w:ascii="宋体" w:hAnsi="宋体" w:eastAsia="宋体" w:cs="宋体"/>
                <w:sz w:val="24"/>
                <w:szCs w:val="24"/>
              </w:rPr>
              <w:t xml:space="preserve">式计算：投标报价得分=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评标基准价/投标报价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40"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2.1</w:t>
            </w:r>
            <w:r/>
          </w:p>
        </w:tc>
        <w:tc>
          <w:tcPr>
            <w:tcW w:w="117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产品技术参数</w:t>
            </w:r>
            <w:r/>
          </w:p>
        </w:tc>
        <w:tc>
          <w:tcPr>
            <w:tcW w:w="633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spacing w:val="1"/>
                <w:sz w:val="24"/>
                <w:szCs w:val="24"/>
              </w:rPr>
            </w:pPr>
            <w:r>
              <w:rPr>
                <w:rFonts w:hint="eastAsia" w:ascii="宋体" w:hAnsi="宋体" w:eastAsia="宋体" w:cs="宋体"/>
                <w:sz w:val="24"/>
                <w:szCs w:val="24"/>
                <w:lang w:val="en-US" w:eastAsia="zh-CN"/>
              </w:rPr>
              <w:t xml:space="preserve">产品技术参数全部满足招标要求的得满分，打★指标为必须满足项，如有负偏离将作为无效投标，打▲指标为重要指标，有1项负偏离扣1分，其余指标有1项负偏离扣0.016分。</w:t>
            </w:r>
            <w:r/>
          </w:p>
        </w:tc>
        <w:tc>
          <w:tcPr>
            <w:tcW w:w="647"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2.2</w:t>
            </w:r>
            <w:r/>
          </w:p>
        </w:tc>
        <w:tc>
          <w:tcPr>
            <w:tcW w:w="1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深化设计</w:t>
            </w:r>
            <w:r/>
          </w:p>
        </w:tc>
        <w:tc>
          <w:tcPr>
            <w:tcW w:w="633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sz w:val="24"/>
                <w:szCs w:val="24"/>
                <w:lang w:val="en-US" w:eastAsia="zh-CN"/>
              </w:rPr>
            </w:pPr>
            <w:r/>
            <w:bookmarkStart w:id="198" w:name="OLE_LINK5"/>
            <w:r>
              <w:rPr>
                <w:rFonts w:hint="eastAsia" w:ascii="宋体" w:hAnsi="宋体" w:eastAsia="宋体" w:cs="宋体"/>
                <w:sz w:val="24"/>
                <w:szCs w:val="24"/>
                <w:lang w:val="en-US" w:eastAsia="zh-CN"/>
              </w:rPr>
              <w:t xml:space="preserve">根据本项目采购需求及相关要求编制方案，内容包含：1.六层研讨室音视频系统（含布线图、系统图、效果图）；2.体育场音视频及运动照明系统（含布线图、系统图、效果图）。</w:t>
            </w:r>
            <w:r/>
          </w:p>
          <w:p>
            <w:pPr>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以上每项内容逐项评分：</w:t>
            </w:r>
            <w:bookmarkEnd w:id="198"/>
            <w:r/>
            <w:r/>
          </w:p>
          <w:p>
            <w:pPr>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与提供的平面布置图对应，功能区域布局合理，且专门针对本项目，契合采购需求视为符合；方案内容属于通用类，非专门针对本项目，部分契合采购需求视为部分符合；方案内容非专门针对本项目，脱离采购需求视为不符合。</w:t>
            </w:r>
            <w:r/>
          </w:p>
          <w:p>
            <w:pPr>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上述每项内容符合得3分；部分符合得1分；不符合或不提供不得分。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2.3</w:t>
            </w:r>
            <w:r/>
          </w:p>
        </w:tc>
        <w:tc>
          <w:tcPr>
            <w:tcW w:w="117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检测报告</w:t>
            </w:r>
            <w:r/>
          </w:p>
        </w:tc>
        <w:tc>
          <w:tcPr>
            <w:tcW w:w="633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投</w:t>
            </w:r>
            <w:r>
              <w:rPr>
                <w:rFonts w:hint="eastAsia" w:ascii="宋体" w:hAnsi="宋体" w:eastAsia="宋体" w:cs="宋体"/>
                <w:color w:val="000000"/>
                <w:sz w:val="24"/>
                <w:szCs w:val="24"/>
                <w:highlight w:val="none"/>
                <w:lang w:val="en-US" w:eastAsia="zh-CN"/>
              </w:rPr>
              <w:t xml:space="preserve">标人提供所投以下产品检测报告，检测内容如下：</w:t>
            </w:r>
            <w:r/>
          </w:p>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1.所投8口入室POE交换机（产品清单20）：为保证设备在受到外接机械碰撞时能够正常运行，要求防护测试级别至少达到IK05；</w:t>
            </w:r>
            <w:r/>
          </w:p>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2.所投网络坐席麦克风（产品清单48）：支持U段和2.4G 双频段备份技术，兼顾抗干扰和远距离传输功能；</w:t>
            </w:r>
            <w:r/>
          </w:p>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3.所投半球摄像机（产品清单56）：在夜晚自动开启补光灯条件下，夜晚图像清晰度应不低于白天图像清晰度的95%；</w:t>
            </w:r>
            <w:r/>
          </w:p>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4.所投LED球场灯（产品清单136）：灯具散热器在常温25℃±5℃与高温90℃±5℃的环境下导热系数≥200且比热容≥0.9。</w:t>
            </w:r>
            <w:r/>
          </w:p>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每提供1项满足要求的检测报告得1分，最多得4分。不符合或不提供不得分。</w:t>
            </w:r>
            <w:r/>
          </w:p>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w:t>
            </w:r>
            <w:r/>
          </w:p>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（1）第三方检测机构出具的检测报告所采用的检测方法和标准符合国家及行业相关管理规范要求；</w:t>
            </w:r>
            <w:r/>
          </w:p>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p>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（3）如涉及标准中未标年号的一律采用最新的标准；随着标准的修订，以修订后的最新标准为依据。除上述规范标准以外，须遵循国家、行业及地方现行的规范和标准要求。</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6"/>
                <w:sz w:val="24"/>
                <w:szCs w:val="24"/>
                <w:lang w:eastAsia="zh-CN"/>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2.4</w:t>
            </w:r>
            <w:r/>
          </w:p>
        </w:tc>
        <w:tc>
          <w:tcPr>
            <w:tcW w:w="1179" w:type="dxa"/>
            <w:vAlign w:val="center"/>
            <w:textDirection w:val="lrTb"/>
            <w:noWrap w:val="false"/>
          </w:tcPr>
          <w:p>
            <w:pPr>
              <w:jc w:val="center"/>
              <w:keepLines w:val="0"/>
              <w:keepNext w:val="0"/>
              <w:pageBreakBefore w:val="0"/>
              <w:spacing w:before="0" w:line="240" w:lineRule="auto"/>
              <w:widowControl/>
              <w:rPr>
                <w:rFonts w:hint="eastAsia" w:ascii="宋体" w:hAnsi="宋体" w:eastAsia="宋体" w:cs="宋体"/>
                <w:color w:val="0000ff"/>
                <w:spacing w:val="-1"/>
                <w:sz w:val="24"/>
                <w:szCs w:val="24"/>
                <w:lang w:val="en-US" w:eastAsia="zh-CN" w:bidi="ar-SA"/>
              </w:rPr>
            </w:pPr>
            <w:r>
              <w:rPr>
                <w:rFonts w:hint="eastAsia" w:ascii="宋体" w:hAnsi="宋体" w:cs="宋体"/>
                <w:sz w:val="24"/>
                <w:szCs w:val="24"/>
                <w:lang w:val="en-US" w:eastAsia="zh-CN" w:bidi="ar"/>
              </w:rPr>
              <w:t xml:space="preserve">系统兼容性</w:t>
            </w:r>
            <w:r/>
          </w:p>
        </w:tc>
        <w:tc>
          <w:tcPr>
            <w:tcW w:w="6330" w:type="dxa"/>
            <w:vAlign w:val="center"/>
            <w:textDirection w:val="lrTb"/>
            <w:noWrap w:val="false"/>
          </w:tcPr>
          <w:p>
            <w:pPr>
              <w:jc w:val="left"/>
              <w:spacing w:line="240" w:lineRule="auto"/>
              <w:widowControl/>
              <w:rPr>
                <w:rFonts w:hint="eastAsia" w:ascii="宋体" w:hAnsi="宋体" w:eastAsia="宋体" w:cs="宋体"/>
                <w:color w:val="0000ff"/>
                <w:sz w:val="24"/>
                <w:szCs w:val="24"/>
                <w:lang w:val="en-US" w:eastAsia="zh-CN" w:bidi="ar-SA"/>
              </w:rPr>
            </w:pPr>
            <w:r>
              <w:rPr>
                <w:rFonts w:hint="eastAsia" w:ascii="宋体" w:hAnsi="宋体" w:eastAsia="宋体" w:cs="宋体"/>
                <w:sz w:val="24"/>
                <w:szCs w:val="24"/>
                <w:lang w:bidi="ar"/>
              </w:rPr>
              <w:t xml:space="preserve">本项目所投无线控制器兼容学校原有无线AP</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所投数字IP广播兼容学校原有广播控制主机</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所投安防一体化平台兼容学校原有监控摄像机</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所投多合一物联网关兼容学校原有物联网管理平台</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全部</w:t>
            </w:r>
            <w:r>
              <w:rPr>
                <w:rFonts w:hint="eastAsia" w:ascii="宋体" w:hAnsi="宋体" w:eastAsia="宋体" w:cs="宋体"/>
                <w:sz w:val="24"/>
                <w:szCs w:val="24"/>
                <w:lang w:bidi="ar"/>
              </w:rPr>
              <w:t xml:space="preserve">满足要求得2分，</w:t>
            </w:r>
            <w:r>
              <w:rPr>
                <w:rFonts w:hint="eastAsia" w:ascii="宋体" w:hAnsi="宋体" w:eastAsia="宋体" w:cs="宋体"/>
                <w:sz w:val="24"/>
                <w:szCs w:val="24"/>
                <w:lang w:val="en-US" w:eastAsia="zh-CN" w:bidi="ar"/>
              </w:rPr>
              <w:t xml:space="preserve">缺项或未提供</w:t>
            </w:r>
            <w:r>
              <w:rPr>
                <w:rFonts w:hint="eastAsia" w:ascii="宋体" w:hAnsi="宋体" w:eastAsia="宋体" w:cs="宋体"/>
                <w:sz w:val="24"/>
                <w:szCs w:val="24"/>
                <w:lang w:bidi="ar"/>
              </w:rPr>
              <w:t xml:space="preserve">承诺的不得分（提供承诺函，格式</w:t>
            </w:r>
            <w:r>
              <w:rPr>
                <w:rFonts w:hint="eastAsia" w:ascii="宋体" w:hAnsi="宋体" w:cs="宋体"/>
                <w:sz w:val="24"/>
                <w:szCs w:val="24"/>
                <w:lang w:val="en-US" w:eastAsia="zh-CN" w:bidi="ar"/>
              </w:rPr>
              <w:t xml:space="preserve">自</w:t>
            </w:r>
            <w:r>
              <w:rPr>
                <w:rFonts w:hint="eastAsia" w:ascii="宋体" w:hAnsi="宋体" w:eastAsia="宋体" w:cs="宋体"/>
                <w:sz w:val="24"/>
                <w:szCs w:val="24"/>
                <w:lang w:bidi="ar"/>
              </w:rPr>
              <w:t xml:space="preserve">拟）。</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w:t>
            </w:r>
            <w:r/>
          </w:p>
        </w:tc>
        <w:tc>
          <w:tcPr>
            <w:tcW w:w="1179"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视频演示1</w:t>
            </w:r>
            <w:r/>
          </w:p>
        </w:tc>
        <w:tc>
          <w:tcPr>
            <w:tcW w:w="633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根据投标人提供的86寸触控一体机（产品清单38）产品以下视频演示内容评分（视频总时长不超过5分钟）：</w:t>
            </w:r>
            <w:r/>
          </w:p>
          <w:p>
            <w:pPr>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1.答题统计功能，通过摄像头进行捕捉和识别学生通过手势答案，最终收集回作答情况；</w:t>
            </w:r>
            <w:r/>
          </w:p>
          <w:p>
            <w:pPr>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2.内置智能体工具，通过现场拍照实时生成智能体后，可通过语音与智能体开展对话交互；</w:t>
            </w:r>
            <w:r/>
          </w:p>
          <w:p>
            <w:pPr>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3.文件传输应用，通过手机扫码进行连接，实现手机文件传输功能。接收的文件支持单份删除、全部清空；</w:t>
            </w:r>
            <w:r/>
          </w:p>
          <w:p>
            <w:pPr>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4.微课分享功能，查看微课观看次数、观看人数、点赞次数、完课率、平均观看时长等信息；</w:t>
            </w:r>
            <w:r/>
          </w:p>
          <w:p>
            <w:pPr>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5.内置语音助手，支持语音交互的方式调节整机音量、亮度，语音操控打开系统已安装应用如：教学白板、浏览器、计算器。</w:t>
            </w:r>
            <w:r/>
          </w:p>
          <w:p>
            <w:pPr>
              <w:jc w:val="both"/>
              <w:keepLines w:val="0"/>
              <w:keepNext w:val="0"/>
              <w:pageBreakBefore w:val="0"/>
              <w:spacing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以上每成功演示一项内容得1分，最多得5分。</w:t>
            </w:r>
            <w:r/>
          </w:p>
          <w:p>
            <w:pPr>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投标人未提供视频文件或因投标人自身原因视频文件无法打开或视频画面不清晰无法辨认的不得分。</w:t>
            </w:r>
            <w:r>
              <w:rPr>
                <w:rFonts w:hint="eastAsia" w:ascii="宋体" w:hAnsi="宋体" w:cs="宋体"/>
                <w:sz w:val="24"/>
                <w:szCs w:val="24"/>
                <w:highlight w:val="none"/>
                <w:lang w:val="en-US" w:eastAsia="zh-CN"/>
              </w:rPr>
              <w:t xml:space="preserve">）</w:t>
            </w:r>
            <w:r/>
          </w:p>
        </w:tc>
        <w:tc>
          <w:tcPr>
            <w:tcW w:w="6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客观分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rPr>
              <w:t xml:space="preserve">2.6</w:t>
            </w:r>
            <w:r/>
          </w:p>
        </w:tc>
        <w:tc>
          <w:tcPr>
            <w:tcW w:w="117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视频演示2</w:t>
            </w:r>
            <w:r/>
          </w:p>
        </w:tc>
        <w:tc>
          <w:tcPr>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根据投标人提供的网络音频一体机（产品清单46）产品以下视频演示内容评分（视频总时长不超过3分钟）：</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1.不外接其他设备，支持一台设备实现拾、调音、扩音三大功能；</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2.麦克风距离扬声器15cm以内，正常拾音扩音，无啸叫、杂音等情况；</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3.后台调试软件可独立控制每个麦克风和扬声器的音量大小。</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以上每成功演示一项内容得1分，最多得3分。</w:t>
            </w:r>
            <w:r/>
          </w:p>
          <w:p>
            <w:pPr>
              <w:jc w:val="left"/>
              <w:keepLines w:val="0"/>
              <w:keepNext w:val="0"/>
              <w:pageBreakBefore w:val="0"/>
              <w:spacing w:line="240" w:lineRule="auto"/>
              <w:widowControl w:val="off"/>
              <w:rPr>
                <w:rFonts w:hint="eastAsia" w:ascii="宋体" w:hAnsi="宋体" w:eastAsia="宋体" w:cs="宋体"/>
                <w:color w:val="000000"/>
                <w:sz w:val="24"/>
                <w:szCs w:val="24"/>
                <w:lang w:val="zh-CN" w:eastAsia="zh-CN" w:bidi="ar-SA"/>
              </w:rPr>
            </w:pP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投标人未提供视频文件或因投标人自身原因视频文件无法打开或视频画面不清晰无法辨认的不得分。</w:t>
            </w:r>
            <w:r>
              <w:rPr>
                <w:rFonts w:hint="eastAsia" w:ascii="宋体" w:hAnsi="宋体" w:cs="宋体"/>
                <w:sz w:val="24"/>
                <w:szCs w:val="24"/>
                <w:highlight w:val="none"/>
                <w:lang w:val="en-US" w:eastAsia="zh-CN"/>
              </w:rPr>
              <w:t xml:space="preserve">）</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rPr>
              <w:t xml:space="preserve">客</w:t>
            </w:r>
            <w:r>
              <w:rPr>
                <w:rFonts w:hint="eastAsia" w:ascii="宋体" w:hAnsi="宋体" w:eastAsia="宋体" w:cs="宋体"/>
                <w:spacing w:val="-6"/>
                <w:sz w:val="24"/>
                <w:szCs w:val="24"/>
                <w:highlight w:val="none"/>
                <w:lang w:eastAsia="zh-CN"/>
              </w:rPr>
              <w:t xml:space="preserve">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sz w:val="24"/>
                <w:szCs w:val="24"/>
                <w:lang w:eastAsia="zh-CN"/>
              </w:rPr>
            </w:pPr>
            <w:r>
              <w:rPr>
                <w:rFonts w:hint="eastAsia" w:ascii="宋体" w:hAnsi="宋体" w:eastAsia="宋体" w:cs="宋体"/>
                <w:b/>
                <w:bCs/>
                <w:spacing w:val="-3"/>
                <w:sz w:val="24"/>
                <w:szCs w:val="24"/>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3.1</w:t>
            </w:r>
            <w:r/>
          </w:p>
        </w:tc>
        <w:tc>
          <w:tcPr>
            <w:tcW w:w="117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实施方案</w:t>
            </w:r>
            <w:r/>
          </w:p>
        </w:tc>
        <w:tc>
          <w:tcPr>
            <w:tcW w:w="6330" w:type="dxa"/>
            <w:vAlign w:val="center"/>
            <w:textDirection w:val="lrTb"/>
            <w:noWrap w:val="false"/>
          </w:tcPr>
          <w:p>
            <w:pPr>
              <w:pStyle w:val="993"/>
              <w:jc w:val="left"/>
              <w:spacing w:line="240" w:lineRule="auto"/>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根据本项目采购需求</w:t>
            </w:r>
            <w:r>
              <w:rPr>
                <w:rFonts w:hint="eastAsia" w:ascii="宋体" w:hAnsi="宋体" w:eastAsia="宋体" w:cs="宋体"/>
                <w:color w:val="000000"/>
                <w:sz w:val="24"/>
                <w:szCs w:val="24"/>
                <w:lang w:val="en-US" w:eastAsia="zh-CN" w:bidi="ar-SA"/>
              </w:rPr>
              <w:t xml:space="preserve">及相关要求</w:t>
            </w:r>
            <w:r>
              <w:rPr>
                <w:rFonts w:hint="eastAsia" w:ascii="宋体" w:hAnsi="宋体" w:eastAsia="宋体" w:cs="宋体"/>
                <w:color w:val="000000"/>
                <w:sz w:val="24"/>
                <w:szCs w:val="24"/>
                <w:lang w:val="en-US" w:bidi="ar-SA"/>
              </w:rPr>
              <w:t xml:space="preserve">编制方案，内容</w:t>
            </w:r>
            <w:r>
              <w:rPr>
                <w:rFonts w:hint="eastAsia" w:ascii="宋体" w:hAnsi="宋体" w:eastAsia="宋体" w:cs="宋体"/>
                <w:color w:val="000000"/>
                <w:sz w:val="24"/>
                <w:szCs w:val="24"/>
                <w:lang w:val="en-US" w:eastAsia="zh-CN" w:bidi="ar-SA"/>
              </w:rPr>
              <w:t xml:space="preserve">包含：</w:t>
            </w:r>
            <w:r>
              <w:rPr>
                <w:rFonts w:hint="eastAsia" w:ascii="宋体" w:hAnsi="宋体" w:eastAsia="宋体" w:cs="宋体"/>
                <w:color w:val="000000"/>
                <w:sz w:val="24"/>
                <w:szCs w:val="24"/>
                <w:lang w:val="en-US"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bidi="ar-SA"/>
              </w:rPr>
              <w:t xml:space="preserve">项目时间进度安排；2.项目安全措施；3.文明施工措施；4.质量措施；5.技术控制措施。</w:t>
            </w:r>
            <w:r/>
          </w:p>
          <w:p>
            <w:pPr>
              <w:pStyle w:val="993"/>
              <w:jc w:val="left"/>
              <w:spacing w:line="240" w:lineRule="auto"/>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以上每项内容逐项评分：</w:t>
            </w:r>
            <w:r/>
          </w:p>
          <w:p>
            <w:pPr>
              <w:pStyle w:val="993"/>
              <w:jc w:val="left"/>
              <w:spacing w:line="240" w:lineRule="auto"/>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方案内容完整详细，且专门针对本项目，契合采购需求视为符合；方案内容属于通用类，非专门针对本项目，部分契合采购需求视为部分符合；方案内容非专门针对本项目，脱离采购需求视为不符合。</w:t>
            </w:r>
            <w:r/>
          </w:p>
          <w:p>
            <w:pPr>
              <w:pStyle w:val="993"/>
              <w:jc w:val="left"/>
              <w:spacing w:line="24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bidi="ar-SA"/>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3.2</w:t>
            </w:r>
            <w:r/>
          </w:p>
        </w:tc>
        <w:tc>
          <w:tcPr>
            <w:tcW w:w="1179" w:type="dxa"/>
            <w:vAlign w:val="center"/>
            <w:textDirection w:val="lrTb"/>
            <w:noWrap w:val="false"/>
          </w:tcPr>
          <w:p>
            <w:pPr>
              <w:jc w:val="both"/>
              <w:keepLines w:val="0"/>
              <w:keepNext w:val="0"/>
              <w:pageBreakBefore w:val="0"/>
              <w:spacing w:before="0" w:line="240" w:lineRule="auto"/>
              <w:widowControl w:val="off"/>
              <w:rPr>
                <w:rFonts w:hint="eastAsia" w:ascii="Times New Roman" w:hAnsi="Times New Roman" w:eastAsia="宋体" w:cs="Times New Roman"/>
                <w:color w:val="000000"/>
                <w:spacing w:val="0"/>
                <w:sz w:val="24"/>
                <w:szCs w:val="24"/>
                <w:lang w:val="en-US" w:eastAsia="zh-CN" w:bidi="ar-SA"/>
              </w:rPr>
            </w:pPr>
            <w:r>
              <w:rPr>
                <w:rFonts w:hint="eastAsia" w:ascii="Times New Roman" w:hAnsi="Times New Roman" w:eastAsia="宋体" w:cs="Times New Roman"/>
                <w:color w:val="000000"/>
                <w:spacing w:val="0"/>
                <w:sz w:val="24"/>
                <w:szCs w:val="24"/>
                <w:lang w:val="en-US" w:eastAsia="zh-CN"/>
              </w:rPr>
              <w:t xml:space="preserve">售后服务方案</w:t>
            </w:r>
            <w:r/>
          </w:p>
        </w:tc>
        <w:tc>
          <w:tcPr>
            <w:tcW w:w="6330" w:type="dxa"/>
            <w:vAlign w:val="center"/>
            <w:textDirection w:val="lrTb"/>
            <w:noWrap w:val="false"/>
          </w:tcPr>
          <w:p>
            <w:pPr>
              <w:pStyle w:val="993"/>
              <w:jc w:val="left"/>
              <w:spacing w:line="240" w:lineRule="auto"/>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根据本项目采购需求</w:t>
            </w:r>
            <w:r>
              <w:rPr>
                <w:rFonts w:hint="eastAsia" w:ascii="宋体" w:hAnsi="宋体" w:eastAsia="宋体" w:cs="宋体"/>
                <w:color w:val="000000"/>
                <w:sz w:val="24"/>
                <w:szCs w:val="24"/>
                <w:lang w:val="en-US" w:eastAsia="zh-CN" w:bidi="ar-SA"/>
              </w:rPr>
              <w:t xml:space="preserve">及相关要求</w:t>
            </w:r>
            <w:r>
              <w:rPr>
                <w:rFonts w:hint="eastAsia" w:ascii="宋体" w:hAnsi="宋体" w:eastAsia="宋体" w:cs="宋体"/>
                <w:color w:val="000000"/>
                <w:sz w:val="24"/>
                <w:szCs w:val="24"/>
                <w:lang w:val="en-US" w:bidi="ar-SA"/>
              </w:rPr>
              <w:t xml:space="preserve">编制方案，内容</w:t>
            </w:r>
            <w:r>
              <w:rPr>
                <w:rFonts w:hint="eastAsia" w:ascii="宋体" w:hAnsi="宋体" w:eastAsia="宋体" w:cs="宋体"/>
                <w:color w:val="000000"/>
                <w:sz w:val="24"/>
                <w:szCs w:val="24"/>
                <w:lang w:val="en-US" w:eastAsia="zh-CN" w:bidi="ar-SA"/>
              </w:rPr>
              <w:t xml:space="preserve">包括：</w:t>
            </w:r>
            <w:r>
              <w:rPr>
                <w:rFonts w:hint="eastAsia" w:ascii="宋体" w:hAnsi="宋体" w:eastAsia="宋体" w:cs="宋体"/>
                <w:color w:val="000000"/>
                <w:sz w:val="24"/>
                <w:szCs w:val="24"/>
                <w:lang w:val="en-US" w:bidi="ar-SA"/>
              </w:rPr>
              <w:t xml:space="preserve">1.售后服务内容；2.售后服务流程；3.故障解决方案；4.服务保障体系；5.应急处置措施。</w:t>
            </w:r>
            <w:r/>
          </w:p>
          <w:p>
            <w:pPr>
              <w:pStyle w:val="993"/>
              <w:jc w:val="left"/>
              <w:spacing w:line="240" w:lineRule="auto"/>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以上每项内容逐项评分：</w:t>
            </w:r>
            <w:r/>
          </w:p>
          <w:p>
            <w:pPr>
              <w:pStyle w:val="993"/>
              <w:jc w:val="left"/>
              <w:spacing w:line="240" w:lineRule="auto"/>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方案内容完整详细，且专门针对本项目，契合采购需求视为符合；方案内容属于通用类，非专门针对本项目，部分契合采购需求视为部分符合；方案内容非专门针对本项目，脱离采购需求视为不符合。</w:t>
            </w:r>
            <w:r/>
          </w:p>
          <w:p>
            <w:pPr>
              <w:pStyle w:val="993"/>
              <w:jc w:val="left"/>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bidi="ar-SA"/>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主观分</w:t>
            </w:r>
            <w:r/>
          </w:p>
        </w:tc>
      </w:tr>
      <w:tr>
        <w:trPr>
          <w:jc w:val="center"/>
          <w:trHeight w:val="356"/>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3.3</w:t>
            </w:r>
            <w:r/>
          </w:p>
        </w:tc>
        <w:tc>
          <w:tcPr>
            <w:tcW w:w="1179"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培训方案</w:t>
            </w:r>
            <w:r/>
          </w:p>
        </w:tc>
        <w:tc>
          <w:tcPr>
            <w:tcW w:w="6330" w:type="dxa"/>
            <w:vAlign w:val="center"/>
            <w:textDirection w:val="lrTb"/>
            <w:noWrap w:val="false"/>
          </w:tcPr>
          <w:p>
            <w:pPr>
              <w:pStyle w:val="993"/>
              <w:jc w:val="left"/>
              <w:spacing w:line="240" w:lineRule="auto"/>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eastAsia="zh-CN" w:bidi="ar-SA"/>
              </w:rPr>
              <w:t xml:space="preserve">根据本项目采购需求及相关要求编制方案，内容包括：</w:t>
            </w:r>
            <w:r>
              <w:rPr>
                <w:rFonts w:hint="eastAsia" w:ascii="宋体" w:hAnsi="宋体" w:eastAsia="宋体" w:cs="宋体"/>
                <w:color w:val="000000"/>
                <w:sz w:val="24"/>
                <w:szCs w:val="24"/>
                <w:lang w:val="en-US" w:bidi="ar-SA"/>
              </w:rPr>
              <w:t xml:space="preserve">1.参训人员安排；2.培训课时规划；3.设备及软件安装培训内容；4.设备软硬件操作使用培训内容；5.软硬件基本维护培训内容。</w:t>
            </w:r>
            <w:r/>
          </w:p>
          <w:p>
            <w:pPr>
              <w:pStyle w:val="993"/>
              <w:jc w:val="left"/>
              <w:spacing w:line="240" w:lineRule="auto"/>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以上每项内容逐项评分：</w:t>
            </w:r>
            <w:r/>
          </w:p>
          <w:p>
            <w:pPr>
              <w:pStyle w:val="993"/>
              <w:jc w:val="left"/>
              <w:spacing w:line="240" w:lineRule="auto"/>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方案内容完整详细，且专门针对本项目，契合采购需求视为符合；方案内容属于通用类，非专门针对本项目，部分契合采购需求视为部分符合；方案内容非专门针对本项目，脱离采购需求视为不符合。</w:t>
            </w:r>
            <w:r/>
          </w:p>
          <w:p>
            <w:pPr>
              <w:pStyle w:val="993"/>
              <w:jc w:val="left"/>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bidi="ar-SA"/>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6"/>
                <w:sz w:val="24"/>
                <w:szCs w:val="24"/>
                <w:lang w:val="en-US" w:eastAsia="zh-CN"/>
              </w:rPr>
            </w:pPr>
            <w:r>
              <w:rPr>
                <w:rFonts w:hint="eastAsia" w:ascii="宋体" w:hAnsi="宋体" w:cs="宋体"/>
                <w:spacing w:val="-6"/>
                <w:sz w:val="24"/>
                <w:szCs w:val="24"/>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4</w:t>
            </w:r>
            <w:r>
              <w:rPr>
                <w:rFonts w:hint="eastAsia" w:ascii="宋体" w:hAnsi="宋体" w:eastAsia="宋体" w:cs="宋体"/>
                <w:spacing w:val="-2"/>
                <w:sz w:val="24"/>
                <w:szCs w:val="24"/>
              </w:rPr>
              <w:t xml:space="preserve">.1</w:t>
            </w:r>
            <w:r/>
          </w:p>
        </w:tc>
        <w:tc>
          <w:tcPr>
            <w:tcW w:w="1179" w:type="dxa"/>
            <w:vAlign w:val="center"/>
            <w:textDirection w:val="lrTb"/>
            <w:noWrap w:val="false"/>
          </w:tcPr>
          <w:p>
            <w:pPr>
              <w:spacing w:before="69" w:line="240" w:lineRule="auto"/>
              <w:rPr>
                <w:rFonts w:hint="eastAsia" w:eastAsia="宋体"/>
                <w:color w:val="auto"/>
                <w:sz w:val="24"/>
                <w:szCs w:val="24"/>
                <w:lang w:val="en-US" w:eastAsia="zh-CN"/>
              </w:rPr>
            </w:pPr>
            <w:r>
              <w:rPr>
                <w:rFonts w:hint="eastAsia" w:ascii="宋体" w:hAnsi="宋体" w:eastAsia="宋体" w:cs="宋体"/>
                <w:color w:val="auto"/>
                <w:spacing w:val="-1"/>
                <w:sz w:val="24"/>
                <w:szCs w:val="24"/>
                <w:lang w:eastAsia="zh-CN"/>
              </w:rPr>
              <w:t xml:space="preserve">投标人</w:t>
            </w:r>
            <w:r>
              <w:rPr>
                <w:rFonts w:hint="eastAsia" w:ascii="宋体" w:hAnsi="宋体" w:eastAsia="宋体" w:cs="宋体"/>
                <w:color w:val="auto"/>
                <w:spacing w:val="-1"/>
                <w:sz w:val="24"/>
                <w:szCs w:val="24"/>
              </w:rPr>
              <w:t xml:space="preserve">业绩</w:t>
            </w:r>
            <w:r/>
          </w:p>
        </w:tc>
        <w:tc>
          <w:tcPr>
            <w:tcW w:w="6330"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投</w:t>
            </w:r>
            <w:r>
              <w:rPr>
                <w:rFonts w:hint="eastAsia" w:ascii="宋体" w:hAnsi="宋体" w:eastAsia="宋体" w:cs="宋体"/>
                <w:color w:val="auto"/>
                <w:sz w:val="24"/>
                <w:szCs w:val="24"/>
                <w:highlight w:val="none"/>
                <w:lang w:val="en-US" w:eastAsia="zh-CN" w:bidi="ar-SA"/>
              </w:rPr>
              <w:t xml:space="preserve">标人提供</w:t>
            </w:r>
            <w:r>
              <w:rPr>
                <w:rFonts w:hint="eastAsia" w:ascii="宋体" w:hAnsi="宋体" w:eastAsia="宋体" w:cs="宋体"/>
                <w:color w:val="auto"/>
                <w:sz w:val="24"/>
                <w:szCs w:val="24"/>
                <w:highlight w:val="none"/>
                <w:lang w:val="en-US" w:eastAsia="zh-CN"/>
              </w:rPr>
              <w:t xml:space="preserve">2023年1月1日</w:t>
            </w:r>
            <w:r>
              <w:rPr>
                <w:rFonts w:hint="eastAsia" w:ascii="宋体" w:hAnsi="宋体" w:eastAsia="宋体" w:cs="宋体"/>
                <w:color w:val="auto"/>
                <w:sz w:val="24"/>
                <w:szCs w:val="24"/>
                <w:highlight w:val="none"/>
                <w:lang w:val="en-US" w:eastAsia="zh-CN" w:bidi="ar-SA"/>
              </w:rPr>
              <w:t xml:space="preserve">（含）以来类似项目业绩（</w:t>
            </w:r>
            <w:r>
              <w:rPr>
                <w:rFonts w:hint="eastAsia" w:ascii="宋体" w:hAnsi="宋体" w:eastAsia="宋体" w:cs="宋体"/>
                <w:i w:val="0"/>
                <w:iCs w:val="0"/>
                <w:caps w:val="0"/>
                <w:color w:val="auto"/>
                <w:spacing w:val="0"/>
                <w:sz w:val="24"/>
                <w:szCs w:val="24"/>
                <w:highlight w:val="none"/>
              </w:rPr>
              <w:t xml:space="preserve">至少包含网络系统、安防监控系统、物联网系统任一系统</w:t>
            </w:r>
            <w:r>
              <w:rPr>
                <w:rFonts w:hint="eastAsia" w:ascii="宋体" w:hAnsi="宋体" w:eastAsia="宋体" w:cs="宋体"/>
                <w:color w:val="auto"/>
                <w:sz w:val="24"/>
                <w:szCs w:val="24"/>
                <w:highlight w:val="none"/>
                <w:lang w:val="en-US" w:eastAsia="zh-CN" w:bidi="ar-SA"/>
              </w:rPr>
              <w:t xml:space="preserve">），每提供1个得1分，最多得3分。</w:t>
            </w:r>
            <w:r/>
          </w:p>
          <w:p>
            <w:pPr>
              <w:jc w:val="both"/>
              <w:spacing w:line="240" w:lineRule="auto"/>
              <w:widowControl w:val="off"/>
              <w:rPr>
                <w:rFonts w:ascii="宋体" w:hAnsi="宋体" w:eastAsia="宋体" w:cs="宋体"/>
                <w:color w:val="auto"/>
                <w:sz w:val="24"/>
                <w:szCs w:val="24"/>
                <w:lang w:val="en-US" w:eastAsia="zh-CN" w:bidi="zh-CN"/>
              </w:rPr>
            </w:pPr>
            <w:r>
              <w:rPr>
                <w:rFonts w:hint="eastAsia" w:ascii="宋体" w:hAnsi="宋体" w:eastAsia="宋体" w:cs="宋体"/>
                <w:color w:val="auto"/>
                <w:sz w:val="24"/>
                <w:szCs w:val="24"/>
                <w:highlight w:val="none"/>
                <w:lang w:val="en-US" w:eastAsia="zh-CN" w:bidi="ar-SA"/>
              </w:rPr>
              <w:t xml:space="preserve">（时间以合同签订时间为准，提供有效合同，合同页须清晰可见相应内容）</w:t>
            </w:r>
            <w:r/>
          </w:p>
        </w:tc>
        <w:tc>
          <w:tcPr>
            <w:tcW w:w="647" w:type="dxa"/>
            <w:vAlign w:val="center"/>
            <w:textDirection w:val="lrTb"/>
            <w:noWrap w:val="false"/>
          </w:tcPr>
          <w:p>
            <w:pPr>
              <w:jc w:val="center"/>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ff"/>
                <w:sz w:val="24"/>
                <w:szCs w:val="24"/>
                <w:lang w:val="en-US" w:eastAsia="zh-CN"/>
              </w:rPr>
              <w:t xml:space="preserve">3</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40"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lang w:val="en-US" w:eastAsia="zh-CN"/>
              </w:rPr>
              <w:t xml:space="preserve">5</w:t>
            </w:r>
            <w:r>
              <w:rPr>
                <w:rFonts w:hint="eastAsia" w:ascii="宋体" w:hAnsi="宋体" w:eastAsia="宋体" w:cs="宋体"/>
                <w:color w:val="000000"/>
                <w:spacing w:val="-2"/>
                <w:sz w:val="24"/>
                <w:szCs w:val="24"/>
              </w:rPr>
              <w:t xml:space="preserve">.1</w:t>
            </w:r>
            <w:r/>
          </w:p>
        </w:tc>
        <w:tc>
          <w:tcPr>
            <w:tcW w:w="1179"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eastAsia="zh-CN"/>
              </w:rPr>
              <w:t xml:space="preserve">履约能力</w:t>
            </w:r>
            <w:r>
              <w:rPr>
                <w:rFonts w:hint="eastAsia" w:ascii="宋体" w:hAnsi="宋体" w:eastAsia="宋体" w:cs="宋体"/>
                <w:color w:val="000000"/>
                <w:spacing w:val="-1"/>
                <w:sz w:val="24"/>
                <w:szCs w:val="24"/>
                <w:lang w:val="en-US" w:eastAsia="zh-CN"/>
              </w:rPr>
              <w:t xml:space="preserve">1</w:t>
            </w:r>
            <w:r/>
          </w:p>
        </w:tc>
        <w:tc>
          <w:tcPr>
            <w:tcW w:w="6330" w:type="dxa"/>
            <w:vAlign w:val="center"/>
            <w:textDirection w:val="lrTb"/>
            <w:noWrap w:val="false"/>
          </w:tcPr>
          <w:p>
            <w:pPr>
              <w:jc w:val="left"/>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投标人</w:t>
            </w:r>
            <w:r>
              <w:rPr>
                <w:rFonts w:hint="eastAsia" w:ascii="宋体" w:hAnsi="宋体" w:eastAsia="宋体" w:cs="宋体"/>
                <w:sz w:val="24"/>
                <w:szCs w:val="24"/>
                <w:lang w:bidi="ar"/>
              </w:rPr>
              <w:t xml:space="preserve">拟投入本项目的项目负责人具有</w:t>
            </w:r>
            <w:r>
              <w:rPr>
                <w:rFonts w:hint="eastAsia" w:ascii="宋体" w:hAnsi="宋体" w:eastAsia="宋体" w:cs="宋体"/>
                <w:sz w:val="24"/>
                <w:szCs w:val="24"/>
                <w:lang w:val="en-US" w:eastAsia="zh-CN" w:bidi="ar"/>
              </w:rPr>
              <w:t xml:space="preserve">中级</w:t>
            </w:r>
            <w:r>
              <w:rPr>
                <w:rFonts w:hint="eastAsia" w:ascii="宋体" w:hAnsi="宋体" w:eastAsia="宋体" w:cs="宋体"/>
                <w:sz w:val="24"/>
                <w:szCs w:val="24"/>
                <w:lang w:bidi="ar"/>
              </w:rPr>
              <w:t xml:space="preserve">工程师（数字经济或电子信息类）</w:t>
            </w:r>
            <w:r>
              <w:rPr>
                <w:rFonts w:hint="eastAsia" w:ascii="宋体" w:hAnsi="宋体" w:eastAsia="宋体" w:cs="宋体"/>
                <w:sz w:val="24"/>
                <w:szCs w:val="24"/>
                <w:lang w:val="en-US" w:eastAsia="zh-CN" w:bidi="ar"/>
              </w:rPr>
              <w:t xml:space="preserve">职称证书</w:t>
            </w:r>
            <w:r>
              <w:rPr>
                <w:rFonts w:hint="eastAsia" w:ascii="宋体" w:hAnsi="宋体" w:eastAsia="宋体" w:cs="宋体"/>
                <w:sz w:val="24"/>
                <w:szCs w:val="24"/>
                <w:lang w:bidi="ar"/>
              </w:rPr>
              <w:t xml:space="preserve">得1分</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高级工程师（数字经济或电子信息类）证书得2分。</w:t>
            </w:r>
            <w:r/>
          </w:p>
          <w:p>
            <w:pPr>
              <w:jc w:val="both"/>
              <w:spacing w:line="240" w:lineRule="auto"/>
              <w:widowControl w:val="off"/>
              <w:rPr>
                <w:rFonts w:hint="eastAsia" w:ascii="宋体" w:hAnsi="宋体" w:eastAsia="宋体" w:cs="宋体"/>
                <w:color w:val="0000ff"/>
                <w:sz w:val="24"/>
                <w:szCs w:val="24"/>
                <w:lang w:val="en-US" w:eastAsia="zh-CN" w:bidi="ar-SA"/>
              </w:rPr>
            </w:pP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证书不累计得分，以最高分计。</w:t>
            </w:r>
            <w:r>
              <w:rPr>
                <w:rFonts w:hint="eastAsia" w:ascii="宋体" w:hAnsi="宋体" w:eastAsia="宋体" w:cs="宋体"/>
                <w:sz w:val="24"/>
                <w:szCs w:val="24"/>
                <w:lang w:bidi="ar"/>
              </w:rPr>
              <w:t xml:space="preserve">提供人员证书及投标人为其缴纳的2026年1月以来任意一个月的社保证明材料，缺一不可）</w:t>
            </w:r>
            <w:r/>
          </w:p>
        </w:tc>
        <w:tc>
          <w:tcPr>
            <w:tcW w:w="647"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5</w:t>
            </w:r>
            <w:r>
              <w:rPr>
                <w:rFonts w:hint="eastAsia" w:ascii="宋体" w:hAnsi="宋体" w:eastAsia="宋体" w:cs="宋体"/>
                <w:spacing w:val="-2"/>
                <w:sz w:val="24"/>
                <w:szCs w:val="24"/>
              </w:rPr>
              <w:t xml:space="preserve">.2</w:t>
            </w:r>
            <w:r/>
          </w:p>
        </w:tc>
        <w:tc>
          <w:tcPr>
            <w:tcW w:w="1179"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eastAsia="zh-CN"/>
              </w:rPr>
              <w:t xml:space="preserve">履约能力</w:t>
            </w:r>
            <w:r>
              <w:rPr>
                <w:rFonts w:hint="eastAsia" w:ascii="宋体" w:hAnsi="宋体" w:eastAsia="宋体" w:cs="宋体"/>
                <w:color w:val="000000"/>
                <w:spacing w:val="-1"/>
                <w:sz w:val="24"/>
                <w:szCs w:val="24"/>
                <w:lang w:val="en-US" w:eastAsia="zh-CN"/>
              </w:rPr>
              <w:t xml:space="preserve">2</w:t>
            </w:r>
            <w:r/>
          </w:p>
        </w:tc>
        <w:tc>
          <w:tcPr>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1.投标人或所投“门禁管理系统”（项目清单80）制造商：具有“门禁管理”或“门禁系统”等相关关键字的《计算机软件著作权登记证书》的得1分。</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2.投标人或所投“多合一物联网关”（项目清单90）制造商：具有“物联管理”或“设备管理”等相关关键字的《计算机软件著作权登记证书》的得1分。</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3.投标人或所投“空调智能数据采集器”（项目清单92）制造商：具有“空调管理”或“空调控制”等相关关键字的《计算机软件著作权登记证书》的得1分。</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4.投标人所投“体育记分系统”（项目清单139）制造商：具有“体育记分”或“比赛记分”等相关关键字的《计算机软件著作权登记证书》的得1分。</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（所提供证书“软件名称”与评分细则规定不同时，应提供符合上述要求的内容（功能）说明及关键信息，否则不予认可。）</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431"/>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spacing w:val="-6"/>
                <w:sz w:val="24"/>
                <w:szCs w:val="24"/>
              </w:rPr>
            </w:pPr>
            <w:r>
              <w:rPr>
                <w:rFonts w:hint="eastAsia" w:ascii="宋体" w:hAnsi="宋体" w:eastAsia="宋体" w:cs="宋体"/>
                <w:b/>
                <w:bCs/>
                <w:spacing w:val="-3"/>
                <w:sz w:val="24"/>
                <w:szCs w:val="24"/>
                <w:lang w:val="en-US" w:eastAsia="zh-CN"/>
              </w:rPr>
              <w:t xml:space="preserve">6.节能环保</w:t>
            </w:r>
            <w:r/>
          </w:p>
        </w:tc>
      </w:tr>
      <w:tr>
        <w:trPr>
          <w:jc w:val="center"/>
          <w:trHeight w:val="676"/>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6.1</w:t>
            </w:r>
            <w:r/>
          </w:p>
        </w:tc>
        <w:tc>
          <w:tcPr>
            <w:tcW w:w="1179"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rPr>
              <w:t xml:space="preserve">节能环保</w:t>
            </w:r>
            <w:r/>
          </w:p>
        </w:tc>
        <w:tc>
          <w:tcPr>
            <w:tcW w:w="633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1.投标产品属于财政部、国家发</w:t>
            </w:r>
            <w:r>
              <w:rPr>
                <w:rFonts w:hint="eastAsia" w:ascii="宋体" w:hAnsi="宋体" w:cs="宋体"/>
                <w:sz w:val="24"/>
                <w:szCs w:val="24"/>
                <w:lang w:val="en-US" w:eastAsia="zh-CN"/>
              </w:rPr>
              <w:t xml:space="preserve">展</w:t>
            </w:r>
            <w:r>
              <w:rPr>
                <w:rFonts w:hint="eastAsia" w:ascii="宋体" w:hAnsi="宋体" w:eastAsia="宋体" w:cs="宋体"/>
                <w:sz w:val="24"/>
                <w:szCs w:val="24"/>
                <w:lang w:val="en-US" w:eastAsia="zh-CN"/>
              </w:rPr>
              <w:t xml:space="preserve">改</w:t>
            </w:r>
            <w:r>
              <w:rPr>
                <w:rFonts w:hint="eastAsia" w:ascii="宋体" w:hAnsi="宋体" w:cs="宋体"/>
                <w:sz w:val="24"/>
                <w:szCs w:val="24"/>
                <w:lang w:val="en-US" w:eastAsia="zh-CN"/>
              </w:rPr>
              <w:t xml:space="preserve">革</w:t>
            </w:r>
            <w:r>
              <w:rPr>
                <w:rFonts w:hint="eastAsia" w:ascii="宋体" w:hAnsi="宋体" w:eastAsia="宋体" w:cs="宋体"/>
                <w:sz w:val="24"/>
                <w:szCs w:val="24"/>
                <w:lang w:val="en-US" w:eastAsia="zh-CN"/>
              </w:rPr>
              <w:t xml:space="preserve">委公布的</w:t>
            </w:r>
            <w:r>
              <w:rPr>
                <w:rFonts w:ascii="宋体" w:hAnsi="宋体" w:eastAsia="宋体" w:cs="宋体"/>
                <w:sz w:val="24"/>
                <w:szCs w:val="24"/>
              </w:rPr>
              <w:t xml:space="preserve">《节能产品政府采购品目清单》（财库〔2019〕19号）</w:t>
            </w:r>
            <w:r>
              <w:rPr>
                <w:rFonts w:hint="eastAsia" w:ascii="宋体" w:hAnsi="宋体" w:eastAsia="宋体" w:cs="宋体"/>
                <w:sz w:val="24"/>
                <w:szCs w:val="24"/>
                <w:lang w:val="en-US" w:eastAsia="zh-CN"/>
              </w:rPr>
              <w:t xml:space="preserve">范围内（政府强制采购产品除外）的，投标人提供国家确定的认证机构出具的、处于有效期之内的该节能产品认证证书的，有1个得0.5分，最多得1分。</w:t>
            </w:r>
            <w:r/>
          </w:p>
          <w:p>
            <w:pPr>
              <w:jc w:val="both"/>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2.投标产品属于财政部、生态环境部公布的《环境</w:t>
            </w:r>
            <w:r>
              <w:rPr>
                <w:rFonts w:ascii="宋体" w:hAnsi="宋体" w:eastAsia="宋体" w:cs="宋体"/>
                <w:sz w:val="24"/>
                <w:szCs w:val="24"/>
                <w:lang w:val="en-US" w:eastAsia="zh-CN"/>
              </w:rPr>
              <w:t xml:space="preserve">标志产品品目清单</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（财库〔2019〕1</w:t>
            </w:r>
            <w:r>
              <w:rPr>
                <w:rFonts w:hint="eastAsia" w:ascii="宋体" w:hAnsi="宋体" w:eastAsia="宋体" w:cs="宋体"/>
                <w:sz w:val="24"/>
                <w:szCs w:val="24"/>
                <w:lang w:val="en-US" w:eastAsia="zh-CN"/>
              </w:rPr>
              <w:t xml:space="preserve">8</w:t>
            </w:r>
            <w:r>
              <w:rPr>
                <w:rFonts w:ascii="宋体" w:hAnsi="宋体" w:eastAsia="宋体" w:cs="宋体"/>
                <w:sz w:val="24"/>
                <w:szCs w:val="24"/>
              </w:rPr>
              <w:t xml:space="preserve">号）</w:t>
            </w:r>
            <w:r>
              <w:rPr>
                <w:rFonts w:hint="eastAsia" w:ascii="宋体" w:hAnsi="宋体" w:eastAsia="宋体" w:cs="宋体"/>
                <w:sz w:val="24"/>
                <w:szCs w:val="24"/>
                <w:lang w:val="en-US" w:eastAsia="zh-CN"/>
              </w:rPr>
              <w:t xml:space="preserve">范围内的，投标人提供国家确定的认证机构出具的、处于有效期内的该环境标志产品认证证书的，有1个得0.5分，最多得1分。</w:t>
            </w:r>
            <w:r/>
          </w:p>
        </w:tc>
        <w:tc>
          <w:tcPr>
            <w:tcW w:w="647" w:type="dxa"/>
            <w:vAlign w:val="center"/>
            <w:textDirection w:val="lrTb"/>
            <w:noWrap w:val="false"/>
          </w:tcPr>
          <w:p>
            <w:pPr>
              <w:jc w:val="center"/>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lang w:val="en-US" w:eastAsia="zh-CN" w:bidi="ar-SA"/>
              </w:rPr>
            </w:pPr>
            <w:r>
              <w:rPr>
                <w:rFonts w:hint="eastAsia" w:ascii="宋体" w:hAnsi="宋体" w:eastAsia="宋体" w:cs="宋体"/>
                <w:spacing w:val="-6"/>
                <w:sz w:val="24"/>
                <w:szCs w:val="24"/>
                <w:lang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spacing w:val="-3"/>
                <w:sz w:val="24"/>
                <w:szCs w:val="24"/>
              </w:rPr>
              <w:t xml:space="preserve">合</w:t>
            </w:r>
            <w:r>
              <w:rPr>
                <w:rFonts w:hint="eastAsia" w:ascii="宋体" w:hAnsi="宋体" w:eastAsia="宋体" w:cs="宋体"/>
                <w:spacing w:val="-2"/>
                <w:sz w:val="24"/>
                <w:szCs w:val="24"/>
              </w:rPr>
              <w:t xml:space="preserve">计</w:t>
            </w:r>
            <w:r/>
          </w:p>
        </w:tc>
        <w:tc>
          <w:tcPr>
            <w:gridSpan w:val="2"/>
            <w:tcW w:w="7509" w:type="dxa"/>
            <w:vAlign w:val="center"/>
            <w:textDirection w:val="lrTb"/>
            <w:noWrap w:val="false"/>
          </w:tcPr>
          <w:p>
            <w:pPr>
              <w:ind w:left="172"/>
              <w:jc w:val="center"/>
              <w:keepLines w:val="0"/>
              <w:keepNext w:val="0"/>
              <w:pageBreakBefore w:val="0"/>
              <w:spacing w:before="123" w:line="240" w:lineRule="auto"/>
              <w:widowControl w:val="off"/>
              <w:rPr>
                <w:rFonts w:hint="eastAsia" w:ascii="宋体" w:hAnsi="宋体" w:eastAsia="宋体" w:cs="宋体"/>
                <w:color w:val="ff0000"/>
                <w:spacing w:val="-2"/>
                <w:sz w:val="24"/>
                <w:szCs w:val="24"/>
              </w:rPr>
            </w:pPr>
            <w:r>
              <w:rPr>
                <w:rFonts w:hint="eastAsia" w:ascii="宋体" w:hAnsi="宋体" w:eastAsia="宋体" w:cs="宋体"/>
                <w:color w:val="ff0000"/>
                <w:spacing w:val="-2"/>
                <w:sz w:val="24"/>
                <w:szCs w:val="24"/>
              </w:rPr>
            </w:r>
            <w:r/>
          </w:p>
        </w:tc>
        <w:tc>
          <w:tcPr>
            <w:gridSpan w:val="2"/>
            <w:tcW w:w="15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p>
        </w:tc>
      </w:tr>
    </w:tbl>
    <w:p>
      <w:pPr>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spacing w:line="240" w:lineRule="auto"/>
        <w:rPr>
          <w:rFonts w:hint="eastAsia"/>
          <w:lang w:val="en-US" w:eastAsia="zh-CN"/>
        </w:rPr>
      </w:pPr>
      <w:r>
        <w:rPr>
          <w:rFonts w:hint="eastAsia"/>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ind w:left="0" w:firstLine="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lang w:val="en-US" w:eastAsia="zh-CN"/>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9" w:name="_Hlt26955039"/>
      <w:r/>
      <w:bookmarkEnd w:id="199"/>
      <w:r/>
      <w:bookmarkStart w:id="200" w:name="_Hlt26671244"/>
      <w:r/>
      <w:bookmarkEnd w:id="200"/>
      <w:r/>
      <w:bookmarkStart w:id="201" w:name="_Toc49090576"/>
      <w:r/>
      <w:bookmarkStart w:id="202" w:name="_Toc120614282"/>
      <w:r/>
      <w:bookmarkStart w:id="20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cs="宋体"/>
          <w:b w:val="0"/>
          <w:bCs w:val="0"/>
          <w:i w:val="0"/>
          <w:sz w:val="28"/>
          <w:szCs w:val="28"/>
          <w:u w:val="none"/>
          <w:lang w:val="en-US" w:eastAsia="zh-CN"/>
        </w:rPr>
        <w:t xml:space="preserve">二</w:t>
      </w:r>
      <w:r>
        <w:rPr>
          <w:rFonts w:hint="eastAsia" w:ascii="宋体" w:hAnsi="宋体" w:eastAsia="宋体" w:cs="宋体"/>
          <w:b w:val="0"/>
          <w:bCs w:val="0"/>
          <w:i w:val="0"/>
          <w:sz w:val="28"/>
          <w:szCs w:val="28"/>
          <w:u w:val="none"/>
          <w:lang w:val="en-US" w:eastAsia="zh-CN"/>
        </w:rPr>
        <w:t xml:space="preserve">、关于符合本国产品标准的声明函（如有）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十三、分包情况说明及分包意向协议（如有）</w:t>
      </w:r>
      <w:r/>
    </w:p>
    <w:p>
      <w:pPr>
        <w:pStyle w:val="725"/>
        <w:rPr>
          <w:rFonts w:hint="eastAsia"/>
          <w:lang w:val="en-US" w:eastAsia="zh-CN"/>
        </w:rPr>
      </w:pPr>
      <w:r>
        <w:rPr>
          <w:rFonts w:hint="eastAsia"/>
          <w:lang w:val="en-US" w:eastAsia="zh-CN"/>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我公司（单位）已知晓：单位负责人为同一人或者存在直接控股、管理关系的不同供应商，不得参加同一合同项下的政府采购活动</w:t>
      </w:r>
      <w:r>
        <w:rPr>
          <w:rFonts w:hint="eastAsia" w:ascii="宋体" w:hAnsi="宋体" w:cs="Times New Roman"/>
          <w:color w:val="000000"/>
          <w:sz w:val="24"/>
          <w:szCs w:val="24"/>
          <w:lang w:val="en-US"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61"/>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61"/>
        <w:ind w:firstLine="480"/>
        <w:spacing w:line="420" w:lineRule="exact"/>
        <w:rPr>
          <w:rFonts w:hint="eastAsia"/>
          <w:sz w:val="24"/>
          <w:szCs w:val="24"/>
        </w:rPr>
      </w:pPr>
      <w:r>
        <w:rPr>
          <w:rFonts w:hint="eastAsia"/>
          <w:sz w:val="24"/>
          <w:szCs w:val="24"/>
        </w:rPr>
      </w:r>
      <w:r/>
    </w:p>
    <w:p>
      <w:pPr>
        <w:pStyle w:val="961"/>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61"/>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61"/>
        <w:ind w:firstLine="480"/>
        <w:spacing w:line="480" w:lineRule="exact"/>
        <w:rPr>
          <w:rFonts w:hint="eastAsia"/>
          <w:sz w:val="24"/>
          <w:szCs w:val="24"/>
        </w:rPr>
      </w:pPr>
      <w:r>
        <w:rPr>
          <w:rFonts w:hint="eastAsia"/>
          <w:sz w:val="24"/>
          <w:szCs w:val="24"/>
        </w:rPr>
        <w:t xml:space="preserve">被授权人身份证号码：</w:t>
      </w:r>
      <w:r/>
    </w:p>
    <w:p>
      <w:pPr>
        <w:pStyle w:val="961"/>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61"/>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1"/>
        <w:ind w:firstLine="480"/>
        <w:spacing w:line="480" w:lineRule="exact"/>
        <w:rPr>
          <w:rFonts w:hint="eastAsia"/>
          <w:sz w:val="24"/>
          <w:szCs w:val="24"/>
          <w:u w:val="single"/>
        </w:rPr>
      </w:pPr>
      <w:r>
        <w:rPr>
          <w:rFonts w:hint="eastAsia"/>
          <w:sz w:val="24"/>
          <w:szCs w:val="24"/>
        </w:rPr>
        <w:t xml:space="preserve">单位地址：</w:t>
      </w:r>
      <w:r/>
    </w:p>
    <w:p>
      <w:pPr>
        <w:pStyle w:val="961"/>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Hlt26671380"/>
      <w:r/>
      <w:bookmarkEnd w:id="205"/>
      <w:r/>
      <w:bookmarkStart w:id="206" w:name="_格式3__银行出具的资信证明"/>
      <w:r/>
      <w:bookmarkEnd w:id="206"/>
      <w:r/>
      <w:bookmarkStart w:id="207" w:name="_Hlt26955070"/>
      <w:r/>
      <w:bookmarkEnd w:id="207"/>
      <w:r/>
      <w:r/>
    </w:p>
    <w:p>
      <w:pPr>
        <w:pStyle w:val="877"/>
        <w:rPr>
          <w:rFonts w:hint="eastAsia"/>
          <w:i/>
          <w:sz w:val="24"/>
          <w:szCs w:val="24"/>
          <w:u w:val="single"/>
        </w:rPr>
      </w:pPr>
      <w:r>
        <w:rPr>
          <w:rFonts w:hint="eastAsia"/>
          <w:i/>
          <w:sz w:val="24"/>
          <w:szCs w:val="24"/>
          <w:u w:val="single"/>
        </w:rPr>
      </w:r>
      <w:r/>
    </w:p>
    <w:p>
      <w:pPr>
        <w:pStyle w:val="877"/>
        <w:rPr>
          <w:rFonts w:hint="eastAsia"/>
          <w:i/>
          <w:sz w:val="24"/>
          <w:szCs w:val="24"/>
          <w:u w:val="single"/>
        </w:rPr>
      </w:pPr>
      <w:r>
        <w:rPr>
          <w:rFonts w:hint="eastAsia"/>
          <w:i/>
          <w:sz w:val="24"/>
          <w:szCs w:val="24"/>
          <w:u w:val="single"/>
        </w:rPr>
      </w:r>
      <w:r/>
    </w:p>
    <w:p>
      <w:pPr>
        <w:pStyle w:val="877"/>
        <w:rPr>
          <w:rFonts w:hint="eastAsia"/>
          <w:i/>
          <w:sz w:val="24"/>
          <w:szCs w:val="24"/>
          <w:u w:val="single"/>
        </w:rPr>
      </w:pPr>
      <w:r>
        <w:rPr>
          <w:rFonts w:hint="eastAsia"/>
          <w:i/>
          <w:sz w:val="24"/>
          <w:szCs w:val="24"/>
          <w:u w:val="single"/>
        </w:rPr>
      </w:r>
      <w:r/>
    </w:p>
    <w:p>
      <w:pPr>
        <w:pStyle w:val="877"/>
        <w:rPr>
          <w:rFonts w:hint="eastAsia"/>
          <w:i/>
          <w:sz w:val="24"/>
          <w:szCs w:val="24"/>
          <w:u w:val="single"/>
        </w:rPr>
      </w:pPr>
      <w:r>
        <w:rPr>
          <w:rFonts w:hint="eastAsia"/>
          <w:i/>
          <w:sz w:val="24"/>
          <w:szCs w:val="24"/>
          <w:u w:val="single"/>
        </w:rPr>
      </w:r>
      <w:r/>
    </w:p>
    <w:p>
      <w:pPr>
        <w:pStyle w:val="877"/>
        <w:rPr>
          <w:rFonts w:hint="eastAsia"/>
          <w:i/>
          <w:sz w:val="24"/>
          <w:szCs w:val="24"/>
          <w:u w:val="single"/>
        </w:rPr>
      </w:pPr>
      <w:r>
        <w:rPr>
          <w:rFonts w:hint="eastAsia"/>
          <w:i/>
          <w:sz w:val="24"/>
          <w:szCs w:val="24"/>
          <w:u w:val="single"/>
        </w:rPr>
      </w:r>
      <w:r/>
    </w:p>
    <w:p>
      <w:pPr>
        <w:pStyle w:val="877"/>
        <w:rPr>
          <w:rFonts w:hint="eastAsia"/>
          <w:i/>
          <w:sz w:val="24"/>
          <w:szCs w:val="24"/>
          <w:u w:val="single"/>
        </w:rPr>
      </w:pPr>
      <w:r>
        <w:rPr>
          <w:rFonts w:hint="eastAsia"/>
          <w:i/>
          <w:sz w:val="24"/>
          <w:szCs w:val="24"/>
          <w:u w:val="single"/>
        </w:rPr>
      </w:r>
      <w:r/>
    </w:p>
    <w:p>
      <w:pPr>
        <w:pStyle w:val="877"/>
        <w:ind w:firstLine="0"/>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6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6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63"/>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6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96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96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96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spacing w:line="420" w:lineRule="exact"/>
        <w:rPr>
          <w:rFonts w:eastAsia="宋体"/>
          <w:lang w:val="en-US" w:eastAsia="zh-CN"/>
        </w:rPr>
      </w:pPr>
      <w:r>
        <w:rPr>
          <w:rFonts w:hint="eastAsia" w:ascii="宋体" w:hAnsi="宋体" w:eastAsia="宋体" w:cs="Times New Roman"/>
          <w:sz w:val="24"/>
          <w:szCs w:val="21"/>
          <w:lang w:val="en-US" w:eastAsia="zh-CN" w:bidi="ar-SA"/>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6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63"/>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6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3"/>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63"/>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699"/>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ascii="宋体" w:hAnsi="宋体" w:eastAsia="宋体" w:cs="宋体"/>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r>
        <w:trPr>
          <w:cantSplit/>
          <w:trHeight w:val="654"/>
        </w:trPr>
        <w:tc>
          <w:tcPr>
            <w:gridSpan w:val="9"/>
            <w:tcW w:w="9871" w:type="dxa"/>
            <w:vAlign w:val="center"/>
            <w:textDirection w:val="lrTb"/>
            <w:noWrap w:val="false"/>
          </w:tcPr>
          <w:p>
            <w:pPr>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937"/>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1.供应商须对招标文件技术要求中的实质性要求（打“★”内容）及其他要求做出明确响应，否则视为无效投标。</w:t>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1.供应商须对招标文件商务要求中的实质性要求（打“★”内容）做出明确响应，否则视为无效投标。</w:t>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6"/>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财库〔2020〕46号</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w:t>
      </w:r>
      <w:r>
        <w:rPr>
          <w:rFonts w:hint="eastAsia" w:ascii="宋体" w:hAnsi="宋体"/>
          <w:sz w:val="24"/>
          <w:szCs w:val="24"/>
          <w:lang w:eastAsia="zh-CN"/>
        </w:rPr>
        <w:t xml:space="preserve">）</w:t>
      </w:r>
      <w:r>
        <w:rPr>
          <w:rFonts w:hint="eastAsia" w:ascii="宋体" w:hAnsi="宋体"/>
          <w:sz w:val="24"/>
          <w:szCs w:val="24"/>
        </w:rPr>
        <w:t xml:space="preserve">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886"/>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886"/>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0"/>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9"/>
          <w:rFonts w:hint="eastAsia"/>
          <w:i w:val="0"/>
          <w:u w:val="single"/>
          <w:shd w:val="clear" w:color="auto" w:fill="ffffff"/>
        </w:rPr>
        <w:t xml:space="preserve">（产品名称1）</w:t>
      </w:r>
      <w:r>
        <w:rPr>
          <w:rStyle w:val="949"/>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9"/>
          <w:rFonts w:hint="eastAsia"/>
          <w:i w:val="0"/>
          <w:u w:val="single"/>
          <w:shd w:val="clear" w:color="auto" w:fill="ffffff"/>
        </w:rPr>
        <w:t xml:space="preserve">（厂名）</w:t>
      </w:r>
      <w:r>
        <w:rPr>
          <w:rStyle w:val="949"/>
          <w:rFonts w:hint="eastAsia"/>
          <w:i w:val="0"/>
          <w:shd w:val="clear" w:color="auto" w:fill="ffffff"/>
          <w:vertAlign w:val="superscript"/>
        </w:rPr>
        <w:t xml:space="preserve">2</w:t>
      </w:r>
      <w:r>
        <w:rPr>
          <w:rFonts w:hint="eastAsia"/>
          <w:shd w:val="clear" w:color="auto" w:fill="ffffff"/>
        </w:rPr>
        <w:t xml:space="preserve">，厂址为</w:t>
      </w:r>
      <w:r>
        <w:rPr>
          <w:rStyle w:val="949"/>
          <w:rFonts w:hint="eastAsia"/>
          <w:i w:val="0"/>
          <w:u w:val="single"/>
          <w:shd w:val="clear" w:color="auto" w:fill="ffffff"/>
        </w:rPr>
        <w:t xml:space="preserve">（生产厂址）</w:t>
      </w:r>
      <w:r>
        <w:rPr>
          <w:rFonts w:hint="eastAsia"/>
          <w:shd w:val="clear" w:color="auto" w:fill="ffffff"/>
        </w:rPr>
        <w:t xml:space="preserve">。</w:t>
      </w:r>
      <w:r>
        <w:rPr>
          <w:rStyle w:val="949"/>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9"/>
          <w:rFonts w:hint="eastAsia"/>
          <w:i/>
          <w:strike w:val="0"/>
          <w:u w:val="single"/>
          <w:shd w:val="clear" w:color="auto" w:fill="ffffff"/>
        </w:rPr>
        <w:t xml:space="preserve">（规定比例）</w:t>
      </w:r>
      <w:r>
        <w:rPr>
          <w:rStyle w:val="949"/>
          <w:rFonts w:hint="eastAsia"/>
          <w:i w:val="0"/>
          <w:shd w:val="clear" w:color="auto" w:fill="ffffff"/>
          <w:vertAlign w:val="superscript"/>
        </w:rPr>
        <w:t xml:space="preserve">3</w:t>
      </w:r>
      <w:r>
        <w:rPr>
          <w:rFonts w:hint="eastAsia"/>
          <w:strike w:val="0"/>
          <w:shd w:val="clear" w:color="auto" w:fill="ffffff"/>
        </w:rPr>
        <w:t xml:space="preserve">。</w:t>
      </w:r>
      <w:r>
        <w:rPr>
          <w:rStyle w:val="949"/>
          <w:rFonts w:hint="eastAsia"/>
          <w:i/>
          <w:strike w:val="0"/>
          <w:u w:val="single"/>
          <w:shd w:val="clear" w:color="auto" w:fill="ffffff"/>
        </w:rPr>
        <w:t xml:space="preserve">（产品名称1）</w:t>
      </w:r>
      <w:r>
        <w:rPr>
          <w:rFonts w:hint="eastAsia"/>
          <w:strike w:val="0"/>
          <w:shd w:val="clear" w:color="auto" w:fill="ffffff"/>
        </w:rPr>
        <w:t xml:space="preserve">的</w:t>
      </w:r>
      <w:r>
        <w:rPr>
          <w:rStyle w:val="949"/>
          <w:rFonts w:hint="eastAsia"/>
          <w:i/>
          <w:strike w:val="0"/>
          <w:u w:val="single"/>
          <w:shd w:val="clear" w:color="auto" w:fill="ffffff"/>
        </w:rPr>
        <w:t xml:space="preserve">（关键组件）</w:t>
      </w:r>
      <w:r>
        <w:rPr>
          <w:rStyle w:val="949"/>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9"/>
          <w:rFonts w:hint="eastAsia"/>
          <w:i/>
          <w:strike w:val="0"/>
          <w:u w:val="single"/>
          <w:shd w:val="clear" w:color="auto" w:fill="ffffff"/>
        </w:rPr>
        <w:t xml:space="preserve">（产品名称1）</w:t>
      </w:r>
      <w:r>
        <w:rPr>
          <w:rFonts w:hint="eastAsia"/>
          <w:strike w:val="0"/>
          <w:shd w:val="clear" w:color="auto" w:fill="ffffff"/>
        </w:rPr>
        <w:t xml:space="preserve">的</w:t>
      </w:r>
      <w:r>
        <w:rPr>
          <w:rStyle w:val="949"/>
          <w:rFonts w:hint="eastAsia"/>
          <w:i/>
          <w:strike w:val="0"/>
          <w:u w:val="single"/>
          <w:shd w:val="clear" w:color="auto" w:fill="ffffff"/>
        </w:rPr>
        <w:t xml:space="preserve">（关键工序）</w:t>
      </w:r>
      <w:r>
        <w:rPr>
          <w:rStyle w:val="949"/>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937"/>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9"/>
          <w:rFonts w:hint="eastAsia"/>
          <w:i w:val="0"/>
          <w:u w:val="single"/>
          <w:shd w:val="clear" w:color="auto" w:fill="ffffff"/>
        </w:rPr>
        <w:t xml:space="preserve">（产品名称2）</w:t>
      </w:r>
      <w:r>
        <w:rPr>
          <w:rFonts w:hint="eastAsia"/>
          <w:shd w:val="clear" w:color="auto" w:fill="ffffff"/>
        </w:rPr>
        <w:t xml:space="preserve">，生产厂为</w:t>
      </w:r>
      <w:r>
        <w:rPr>
          <w:rStyle w:val="949"/>
          <w:rFonts w:hint="eastAsia"/>
          <w:i w:val="0"/>
          <w:u w:val="single"/>
          <w:shd w:val="clear" w:color="auto" w:fill="ffffff"/>
        </w:rPr>
        <w:t xml:space="preserve">（厂名）</w:t>
      </w:r>
      <w:r>
        <w:rPr>
          <w:rFonts w:hint="eastAsia"/>
          <w:shd w:val="clear" w:color="auto" w:fill="ffffff"/>
        </w:rPr>
        <w:t xml:space="preserve">，厂址为</w:t>
      </w:r>
      <w:r>
        <w:rPr>
          <w:rStyle w:val="949"/>
          <w:rFonts w:hint="eastAsia"/>
          <w:i w:val="0"/>
          <w:u w:val="single"/>
          <w:shd w:val="clear" w:color="auto" w:fill="ffffff"/>
        </w:rPr>
        <w:t xml:space="preserve">（生产厂址）</w:t>
      </w:r>
      <w:r>
        <w:rPr>
          <w:rFonts w:hint="eastAsia"/>
          <w:shd w:val="clear" w:color="auto" w:fill="ffffff"/>
        </w:rPr>
        <w:t xml:space="preserve">。</w:t>
      </w:r>
      <w:r>
        <w:rPr>
          <w:rStyle w:val="949"/>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9"/>
          <w:rFonts w:hint="eastAsia"/>
          <w:i/>
          <w:strike w:val="0"/>
          <w:u w:val="single"/>
          <w:shd w:val="clear" w:color="auto" w:fill="ffffff"/>
        </w:rPr>
        <w:t xml:space="preserve">（规定比例）</w:t>
      </w:r>
      <w:r>
        <w:rPr>
          <w:rFonts w:hint="eastAsia"/>
          <w:strike w:val="0"/>
          <w:shd w:val="clear" w:color="auto" w:fill="ffffff"/>
        </w:rPr>
        <w:t xml:space="preserve">。</w:t>
      </w:r>
      <w:r>
        <w:rPr>
          <w:rStyle w:val="949"/>
          <w:rFonts w:hint="eastAsia"/>
          <w:i/>
          <w:strike w:val="0"/>
          <w:u w:val="single"/>
          <w:shd w:val="clear" w:color="auto" w:fill="ffffff"/>
        </w:rPr>
        <w:t xml:space="preserve">（产品名称2）</w:t>
      </w:r>
      <w:r>
        <w:rPr>
          <w:rFonts w:hint="eastAsia"/>
          <w:strike w:val="0"/>
          <w:shd w:val="clear" w:color="auto" w:fill="ffffff"/>
        </w:rPr>
        <w:t xml:space="preserve">的</w:t>
      </w:r>
      <w:r>
        <w:rPr>
          <w:rStyle w:val="949"/>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9"/>
          <w:rFonts w:hint="eastAsia"/>
          <w:i/>
          <w:strike w:val="0"/>
          <w:u w:val="single"/>
          <w:shd w:val="clear" w:color="auto" w:fill="ffffff"/>
        </w:rPr>
        <w:t xml:space="preserve">（产品名称2）</w:t>
      </w:r>
      <w:r>
        <w:rPr>
          <w:rFonts w:hint="eastAsia"/>
          <w:strike w:val="0"/>
          <w:shd w:val="clear" w:color="auto" w:fill="ffffff"/>
        </w:rPr>
        <w:t xml:space="preserve">的</w:t>
      </w:r>
      <w:r>
        <w:rPr>
          <w:rStyle w:val="949"/>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93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37"/>
        <w:ind w:firstLine="420"/>
        <w:spacing w:before="24" w:beforeAutospacing="0" w:after="24" w:afterAutospacing="0" w:line="360" w:lineRule="auto"/>
        <w:shd w:val="clear" w:color="auto" w:fill="ffffff"/>
        <w:rPr>
          <w:rFonts w:hint="eastAsia"/>
        </w:rPr>
      </w:pPr>
      <w:r/>
      <w:bookmarkStart w:id="208" w:name="OLE_LINK6"/>
      <w:r>
        <w:rPr>
          <w:rFonts w:hint="eastAsia"/>
          <w:shd w:val="clear" w:color="auto" w:fill="ffffff"/>
        </w:rPr>
        <w:t xml:space="preserve">本公司（单位）</w:t>
      </w:r>
      <w:bookmarkEnd w:id="208"/>
      <w:r>
        <w:rPr>
          <w:rFonts w:hint="eastAsia"/>
          <w:shd w:val="clear" w:color="auto" w:fill="ffffff"/>
        </w:rPr>
        <w:t xml:space="preserve">对上述声明内容的真实性负责。如有虚假，愿承担相应法律责任。</w:t>
      </w:r>
      <w:r/>
    </w:p>
    <w:p>
      <w:pPr>
        <w:pStyle w:val="93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93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3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9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9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37"/>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937"/>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p>
    <w:p>
      <w:pPr>
        <w:ind w:firstLine="6240"/>
        <w:spacing w:line="336" w:lineRule="auto"/>
        <w:rPr>
          <w:rFonts w:hint="eastAsia" w:ascii="宋体" w:hAnsi="宋体" w:eastAsia="宋体" w:cs="Times New Roman"/>
          <w:sz w:val="24"/>
          <w:szCs w:val="24"/>
        </w:rPr>
      </w:pPr>
      <w:r>
        <w:br w:type="page" w:clear="all"/>
      </w:r>
      <w:bookmarkEnd w:id="204"/>
      <w:r/>
      <w:r/>
    </w:p>
    <w:p>
      <w:pPr>
        <w:jc w:val="left"/>
        <w:keepLines w:val="0"/>
        <w:keepNext w:val="0"/>
        <w:pageBreakBefore w:val="0"/>
        <w:spacing w:line="360" w:lineRule="auto"/>
        <w:widowControl/>
        <w:rPr>
          <w:rFonts w:hint="default"/>
          <w:lang w:val="en-US"/>
        </w:rPr>
        <w:outlineLvl w:val="9"/>
      </w:pPr>
      <w:r>
        <w:rPr>
          <w:rFonts w:hint="eastAsia" w:ascii="黑体" w:hAnsi="黑体" w:eastAsia="黑体" w:cs="Times New Roman"/>
          <w:i w:val="0"/>
          <w:iCs/>
          <w:sz w:val="32"/>
          <w:szCs w:val="32"/>
          <w:u w:val="none"/>
          <w:lang w:val="en-US" w:eastAsia="zh-CN"/>
        </w:rPr>
        <w:t xml:space="preserve">十三、分包情况说明及分包意向协议</w:t>
      </w:r>
      <w:r/>
    </w:p>
    <w:p>
      <w:pPr>
        <w:jc w:val="center"/>
        <w:keepLines w:val="0"/>
        <w:keepNext w:val="0"/>
        <w:spacing w:line="360" w:lineRule="auto"/>
        <w:widowControl/>
        <w:rPr>
          <w:rFonts w:hint="eastAsia" w:ascii="方正小标宋简体" w:hAnsi="方正小标宋简体" w:eastAsia="方正小标宋简体" w:cs="方正小标宋简体"/>
          <w:color w:val="000000"/>
          <w:sz w:val="32"/>
          <w:szCs w:val="32"/>
        </w:rPr>
        <w:outlineLvl w:val="2"/>
        <w:suppressLineNumbers w:val="0"/>
      </w:pPr>
      <w:r>
        <w:rPr>
          <w:rFonts w:hint="eastAsia" w:ascii="方正小标宋简体" w:hAnsi="方正小标宋简体" w:eastAsia="方正小标宋简体" w:cs="方正小标宋简体"/>
          <w:b w:val="0"/>
          <w:bCs w:val="0"/>
          <w:color w:val="000000"/>
          <w:sz w:val="32"/>
          <w:szCs w:val="32"/>
          <w:lang w:val="en-US" w:eastAsia="zh-CN" w:bidi="ar"/>
        </w:rPr>
        <w:t xml:space="preserve">分包情况说明</w:t>
      </w:r>
      <w:r/>
    </w:p>
    <w:p>
      <w:pPr>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致：</w:t>
      </w:r>
      <w:r>
        <w:rPr>
          <w:rFonts w:hint="eastAsia" w:ascii="Times New Roman" w:hAnsi="Times New Roman" w:eastAsia="宋体" w:cs="Times New Roman"/>
          <w:color w:val="000000"/>
          <w:sz w:val="24"/>
          <w:szCs w:val="24"/>
          <w:u w:val="single"/>
          <w:lang w:val="en-US" w:eastAsia="zh-CN" w:bidi="ar"/>
        </w:rPr>
        <w:t xml:space="preserve">                </w:t>
      </w:r>
      <w:r>
        <w:rPr>
          <w:rFonts w:hint="default" w:ascii="宋体" w:hAnsi="宋体" w:eastAsia="宋体" w:cs="宋体"/>
          <w:b w:val="0"/>
          <w:bCs w:val="0"/>
          <w:color w:val="000000"/>
          <w:sz w:val="24"/>
          <w:szCs w:val="24"/>
          <w:lang w:val="en-US" w:eastAsia="zh-CN" w:bidi="ar"/>
        </w:rPr>
        <w:t xml:space="preserve">（采购人名称） </w:t>
      </w:r>
      <w:r/>
    </w:p>
    <w:p>
      <w:pPr>
        <w:ind w:firstLine="480"/>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我单位参加项目编号为</w:t>
      </w:r>
      <w:r>
        <w:rPr>
          <w:rFonts w:hint="default"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的</w:t>
      </w:r>
      <w:r>
        <w:rPr>
          <w:rFonts w:hint="default" w:ascii="Times New Roman" w:hAnsi="Times New Roman" w:eastAsia="宋体" w:cs="Times New Roman"/>
          <w:color w:val="000000"/>
          <w:sz w:val="24"/>
          <w:szCs w:val="24"/>
          <w:lang w:val="en-US" w:eastAsia="zh-CN" w:bidi="ar"/>
        </w:rPr>
        <w:t xml:space="preserve">_________</w:t>
      </w:r>
      <w:r>
        <w:rPr>
          <w:rFonts w:hint="eastAsia" w:ascii="宋体" w:hAnsi="宋体" w:eastAsia="宋体" w:cs="宋体"/>
          <w:color w:val="000000"/>
          <w:sz w:val="24"/>
          <w:szCs w:val="24"/>
          <w:lang w:val="en-US" w:eastAsia="zh-CN" w:bidi="ar"/>
        </w:rPr>
        <w:t xml:space="preserve">项目（项目名称）中</w:t>
      </w:r>
      <w:r>
        <w:rPr>
          <w:rFonts w:hint="default" w:ascii="Times New Roman" w:hAnsi="Times New Roman" w:eastAsia="宋体" w:cs="Times New Roman"/>
          <w:color w:val="000000"/>
          <w:sz w:val="24"/>
          <w:szCs w:val="24"/>
          <w:u w:val="single"/>
          <w:lang w:val="en-US" w:eastAsia="zh-CN" w:bidi="ar"/>
        </w:rPr>
        <w:t xml:space="preserve"> 采购包1 </w:t>
      </w:r>
      <w:r>
        <w:rPr>
          <w:rFonts w:hint="eastAsia" w:ascii="宋体" w:hAnsi="宋体" w:eastAsia="宋体" w:cs="宋体"/>
          <w:color w:val="000000"/>
          <w:sz w:val="24"/>
          <w:szCs w:val="24"/>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501"/>
        <w:gridCol w:w="1789"/>
        <w:gridCol w:w="1559"/>
        <w:gridCol w:w="1701"/>
        <w:gridCol w:w="1334"/>
        <w:gridCol w:w="1272"/>
      </w:tblGrid>
      <w:tr>
        <w:trPr/>
        <w:tc>
          <w:tcPr>
            <w:tcW w:w="591" w:type="dxa"/>
            <w:vAlign w:val="center"/>
            <w:textDirection w:val="lrTb"/>
            <w:noWrap w:val="false"/>
          </w:tcPr>
          <w:p>
            <w:pPr>
              <w:jc w:val="center"/>
              <w:keepLines w:val="0"/>
              <w:keepNext w:val="0"/>
              <w:spacing w:after="0" w:line="240" w:lineRule="auto"/>
              <w:widowControl/>
              <w:rPr>
                <w:rFonts w:hint="eastAsia" w:eastAsia="宋体"/>
                <w:sz w:val="24"/>
                <w:szCs w:val="24"/>
                <w:vertAlign w:val="baseline"/>
                <w:lang w:val="en-US" w:eastAsia="zh-CN"/>
              </w:rPr>
              <w:suppressLineNumbers w:val="0"/>
            </w:pPr>
            <w:r>
              <w:rPr>
                <w:rFonts w:hint="eastAsia"/>
                <w:sz w:val="24"/>
                <w:szCs w:val="24"/>
                <w:vertAlign w:val="baseline"/>
                <w:lang w:val="en-US" w:eastAsia="zh-CN"/>
              </w:rPr>
              <w:t xml:space="preserve">序号</w:t>
            </w:r>
            <w:r/>
          </w:p>
        </w:tc>
        <w:tc>
          <w:tcPr>
            <w:tcW w:w="1501" w:type="dxa"/>
            <w:vAlign w:val="center"/>
            <w:textDirection w:val="lrTb"/>
            <w:noWrap w:val="false"/>
          </w:tcPr>
          <w:p>
            <w:pPr>
              <w:jc w:val="center"/>
              <w:keepLines w:val="0"/>
              <w:keepNext w:val="0"/>
              <w:spacing w:after="0" w:line="240" w:lineRule="auto"/>
              <w:widowControl/>
              <w:rPr>
                <w:rFonts w:hint="default" w:eastAsia="宋体"/>
                <w:sz w:val="24"/>
                <w:szCs w:val="24"/>
                <w:vertAlign w:val="baseline"/>
                <w:lang w:val="en-US" w:eastAsia="zh-CN"/>
              </w:rPr>
              <w:suppressLineNumbers w:val="0"/>
            </w:pPr>
            <w:r>
              <w:rPr>
                <w:rFonts w:hint="eastAsia"/>
                <w:sz w:val="24"/>
                <w:szCs w:val="24"/>
                <w:vertAlign w:val="baseline"/>
                <w:lang w:val="en-US" w:eastAsia="zh-CN"/>
              </w:rPr>
              <w:t xml:space="preserve">分包承担主体名称</w:t>
            </w:r>
            <w:r/>
          </w:p>
        </w:tc>
        <w:tc>
          <w:tcPr>
            <w:tcW w:w="1789" w:type="dxa"/>
            <w:vAlign w:val="center"/>
            <w:textDirection w:val="lrTb"/>
            <w:noWrap w:val="false"/>
          </w:tcPr>
          <w:p>
            <w:pPr>
              <w:jc w:val="center"/>
              <w:keepLines w:val="0"/>
              <w:keepNext w:val="0"/>
              <w:spacing w:after="0" w:line="240" w:lineRule="auto"/>
              <w:widowControl/>
              <w:rPr>
                <w:rFonts w:hint="default" w:eastAsia="宋体"/>
                <w:sz w:val="24"/>
                <w:szCs w:val="24"/>
                <w:vertAlign w:val="baseline"/>
                <w:lang w:val="en-US" w:eastAsia="zh-CN"/>
              </w:rPr>
              <w:suppressLineNumbers w:val="0"/>
            </w:pPr>
            <w:r>
              <w:rPr>
                <w:rFonts w:hint="eastAsia"/>
                <w:sz w:val="24"/>
                <w:szCs w:val="24"/>
                <w:vertAlign w:val="baseline"/>
                <w:lang w:val="en-US" w:eastAsia="zh-CN"/>
              </w:rPr>
              <w:t xml:space="preserve">分包承担主体类型（大型、中型、小型、微型）</w:t>
            </w:r>
            <w:r/>
          </w:p>
        </w:tc>
        <w:tc>
          <w:tcPr>
            <w:tcW w:w="1559" w:type="dxa"/>
            <w:vAlign w:val="center"/>
            <w:textDirection w:val="lrTb"/>
            <w:noWrap w:val="false"/>
          </w:tcPr>
          <w:p>
            <w:pPr>
              <w:jc w:val="center"/>
              <w:keepLines w:val="0"/>
              <w:keepNext w:val="0"/>
              <w:spacing w:after="0" w:line="240" w:lineRule="auto"/>
              <w:widowControl/>
              <w:rPr>
                <w:rFonts w:hint="default" w:eastAsia="宋体"/>
                <w:sz w:val="24"/>
                <w:szCs w:val="24"/>
                <w:vertAlign w:val="baseline"/>
                <w:lang w:val="en-US" w:eastAsia="zh-CN"/>
              </w:rPr>
              <w:suppressLineNumbers w:val="0"/>
            </w:pPr>
            <w:r>
              <w:rPr>
                <w:rFonts w:hint="eastAsia"/>
                <w:sz w:val="24"/>
                <w:szCs w:val="24"/>
                <w:vertAlign w:val="baseline"/>
                <w:lang w:val="en-US" w:eastAsia="zh-CN"/>
              </w:rPr>
              <w:t xml:space="preserve">分包承担主体资质</w:t>
            </w:r>
            <w:r/>
          </w:p>
        </w:tc>
        <w:tc>
          <w:tcPr>
            <w:tcW w:w="1701" w:type="dxa"/>
            <w:vAlign w:val="center"/>
            <w:textDirection w:val="lrTb"/>
            <w:noWrap w:val="false"/>
          </w:tcPr>
          <w:p>
            <w:pPr>
              <w:jc w:val="center"/>
              <w:keepLines w:val="0"/>
              <w:keepNext w:val="0"/>
              <w:spacing w:after="0" w:line="240" w:lineRule="auto"/>
              <w:widowControl/>
              <w:rPr>
                <w:rFonts w:hint="default" w:eastAsia="宋体"/>
                <w:sz w:val="24"/>
                <w:szCs w:val="24"/>
                <w:vertAlign w:val="baseline"/>
                <w:lang w:val="en-US" w:eastAsia="zh-CN"/>
              </w:rPr>
              <w:suppressLineNumbers w:val="0"/>
            </w:pPr>
            <w:r>
              <w:rPr>
                <w:rFonts w:hint="eastAsia"/>
                <w:sz w:val="24"/>
                <w:szCs w:val="24"/>
                <w:vertAlign w:val="baseline"/>
                <w:lang w:val="en-US" w:eastAsia="zh-CN"/>
              </w:rPr>
              <w:t xml:space="preserve">分包标的内容</w:t>
            </w:r>
            <w:r/>
          </w:p>
        </w:tc>
        <w:tc>
          <w:tcPr>
            <w:tcW w:w="1334" w:type="dxa"/>
            <w:vAlign w:val="center"/>
            <w:textDirection w:val="lrTb"/>
            <w:noWrap w:val="false"/>
          </w:tcPr>
          <w:p>
            <w:pPr>
              <w:jc w:val="center"/>
              <w:keepLines w:val="0"/>
              <w:keepNext w:val="0"/>
              <w:spacing w:after="0" w:line="240" w:lineRule="auto"/>
              <w:widowControl/>
              <w:rPr>
                <w:rFonts w:hint="default" w:eastAsia="宋体"/>
                <w:sz w:val="24"/>
                <w:szCs w:val="24"/>
                <w:vertAlign w:val="baseline"/>
                <w:lang w:val="en-US" w:eastAsia="zh-CN"/>
              </w:rPr>
              <w:suppressLineNumbers w:val="0"/>
            </w:pPr>
            <w:r>
              <w:rPr>
                <w:rFonts w:hint="eastAsia"/>
                <w:sz w:val="24"/>
                <w:szCs w:val="24"/>
                <w:vertAlign w:val="baseline"/>
                <w:lang w:val="en-US" w:eastAsia="zh-CN"/>
              </w:rPr>
              <w:t xml:space="preserve">分包合同金额（元）</w:t>
            </w:r>
            <w:r/>
          </w:p>
        </w:tc>
        <w:tc>
          <w:tcPr>
            <w:tcW w:w="1272" w:type="dxa"/>
            <w:vAlign w:val="center"/>
            <w:textDirection w:val="lrTb"/>
            <w:noWrap w:val="false"/>
          </w:tcPr>
          <w:p>
            <w:pPr>
              <w:jc w:val="center"/>
              <w:keepLines w:val="0"/>
              <w:keepNext w:val="0"/>
              <w:spacing w:after="0" w:line="240" w:lineRule="auto"/>
              <w:widowControl/>
              <w:rPr>
                <w:rFonts w:hint="default" w:eastAsia="宋体"/>
                <w:sz w:val="24"/>
                <w:szCs w:val="24"/>
                <w:vertAlign w:val="baseline"/>
                <w:lang w:val="en-US" w:eastAsia="zh-CN"/>
              </w:rPr>
              <w:suppressLineNumbers w:val="0"/>
            </w:pPr>
            <w:r>
              <w:rPr>
                <w:rFonts w:hint="eastAsia"/>
                <w:sz w:val="24"/>
                <w:szCs w:val="24"/>
                <w:vertAlign w:val="baseline"/>
                <w:lang w:val="en-US" w:eastAsia="zh-CN"/>
              </w:rPr>
              <w:t xml:space="preserve">占合同总额的比例（%）</w:t>
            </w:r>
            <w:r/>
          </w:p>
        </w:tc>
      </w:tr>
      <w:tr>
        <w:trPr>
          <w:trHeight w:val="488"/>
        </w:trPr>
        <w:tc>
          <w:tcPr>
            <w:tcW w:w="591" w:type="dxa"/>
            <w:vAlign w:val="center"/>
            <w:textDirection w:val="lrTb"/>
            <w:noWrap w:val="false"/>
          </w:tcPr>
          <w:p>
            <w:pPr>
              <w:jc w:val="center"/>
              <w:keepLines w:val="0"/>
              <w:keepNext w:val="0"/>
              <w:spacing w:after="0" w:line="240" w:lineRule="auto"/>
              <w:widowControl/>
              <w:rPr>
                <w:rFonts w:hint="eastAsia" w:eastAsia="宋体"/>
                <w:sz w:val="24"/>
                <w:szCs w:val="24"/>
                <w:vertAlign w:val="baseline"/>
                <w:lang w:val="en-US" w:eastAsia="zh-CN"/>
              </w:rPr>
              <w:suppressLineNumbers w:val="0"/>
            </w:pPr>
            <w:r>
              <w:rPr>
                <w:rFonts w:hint="eastAsia"/>
                <w:sz w:val="24"/>
                <w:szCs w:val="24"/>
                <w:vertAlign w:val="baseline"/>
                <w:lang w:val="en-US" w:eastAsia="zh-CN"/>
              </w:rPr>
              <w:t xml:space="preserve">1</w:t>
            </w:r>
            <w:r/>
          </w:p>
        </w:tc>
        <w:tc>
          <w:tcPr>
            <w:tcW w:w="1501"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tc>
        <w:tc>
          <w:tcP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有效期内电子与智能化工程专业承包二级及以上资质证书</w:t>
            </w:r>
            <w:r/>
          </w:p>
        </w:tc>
        <w:tc>
          <w:tcPr>
            <w:tcW w:w="1701"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rPr>
                <w:rFonts w:ascii="SimSun" w:hAnsi="SimSun" w:eastAsia="SimSun" w:cs="SimSun"/>
                <w:color w:val="000000"/>
                <w:sz w:val="24"/>
              </w:rPr>
              <w:t xml:space="preserve">项目清单序号15：墙面管路预埋</w:t>
            </w:r>
            <w:r>
              <w:rPr>
                <w:sz w:val="24"/>
                <w:szCs w:val="24"/>
                <w:vertAlign w:val="baseline"/>
              </w:rPr>
            </w:r>
            <w:r/>
          </w:p>
        </w:tc>
        <w:tc>
          <w:tcPr>
            <w:tcW w:w="1334"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272"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r>
      <w:tr>
        <w:trPr>
          <w:trHeight w:val="488"/>
        </w:trPr>
        <w:tc>
          <w:tcPr>
            <w:tcW w:w="591" w:type="dxa"/>
            <w:vAlign w:val="center"/>
            <w:textDirection w:val="lrTb"/>
            <w:noWrap w:val="false"/>
          </w:tcPr>
          <w:p>
            <w:pPr>
              <w:jc w:val="center"/>
              <w:keepLines w:val="0"/>
              <w:keepNext w:val="0"/>
              <w:spacing w:after="0" w:line="240" w:lineRule="auto"/>
              <w:widowControl/>
              <w:rPr>
                <w:rFonts w:hint="eastAsia" w:eastAsia="宋体"/>
                <w:sz w:val="24"/>
                <w:szCs w:val="24"/>
                <w:vertAlign w:val="baseline"/>
                <w:lang w:val="en-US" w:eastAsia="zh-CN"/>
              </w:rPr>
              <w:suppressLineNumbers w:val="0"/>
            </w:pPr>
            <w:r>
              <w:rPr>
                <w:rFonts w:hint="eastAsia"/>
                <w:sz w:val="24"/>
                <w:szCs w:val="24"/>
                <w:vertAlign w:val="baseline"/>
                <w:lang w:val="en-US" w:eastAsia="zh-CN"/>
              </w:rPr>
              <w:t xml:space="preserve">2</w:t>
            </w:r>
            <w:r/>
          </w:p>
        </w:tc>
        <w:tc>
          <w:tcPr>
            <w:tcW w:w="1501"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789"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559"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701"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334"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272"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r>
      <w:tr>
        <w:trPr>
          <w:trHeight w:val="456"/>
        </w:trPr>
        <w:tc>
          <w:tcPr>
            <w:tcW w:w="591" w:type="dxa"/>
            <w:vAlign w:val="center"/>
            <w:textDirection w:val="lrTb"/>
            <w:noWrap w:val="false"/>
          </w:tcPr>
          <w:p>
            <w:pPr>
              <w:jc w:val="center"/>
              <w:keepLines w:val="0"/>
              <w:keepNext w:val="0"/>
              <w:spacing w:after="0" w:line="240" w:lineRule="auto"/>
              <w:widowControl/>
              <w:rPr>
                <w:rFonts w:hint="default" w:eastAsia="宋体"/>
                <w:sz w:val="24"/>
                <w:szCs w:val="24"/>
                <w:vertAlign w:val="baseline"/>
                <w:lang w:val="en-US" w:eastAsia="zh-CN"/>
              </w:rPr>
              <w:suppressLineNumbers w:val="0"/>
            </w:pPr>
            <w:r>
              <w:rPr>
                <w:rFonts w:hint="eastAsia"/>
                <w:sz w:val="24"/>
                <w:szCs w:val="24"/>
                <w:vertAlign w:val="baseline"/>
                <w:lang w:val="en-US" w:eastAsia="zh-CN"/>
              </w:rPr>
              <w:t xml:space="preserve">...</w:t>
            </w:r>
            <w:r/>
          </w:p>
        </w:tc>
        <w:tc>
          <w:tcPr>
            <w:tcW w:w="1501"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789"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559"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701"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334"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272"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r>
      <w:tr>
        <w:trPr>
          <w:trHeight w:val="475"/>
        </w:trPr>
        <w:tc>
          <w:tcPr>
            <w:gridSpan w:val="5"/>
            <w:tcW w:w="7140" w:type="dxa"/>
            <w:vAlign w:val="center"/>
            <w:textDirection w:val="lrTb"/>
            <w:noWrap w:val="false"/>
          </w:tcPr>
          <w:p>
            <w:pPr>
              <w:jc w:val="center"/>
              <w:keepLines w:val="0"/>
              <w:keepNext w:val="0"/>
              <w:spacing w:after="0" w:line="240" w:lineRule="auto"/>
              <w:widowControl/>
              <w:rPr>
                <w:rFonts w:hint="eastAsia" w:eastAsia="宋体"/>
                <w:sz w:val="24"/>
                <w:szCs w:val="24"/>
                <w:vertAlign w:val="baseline"/>
                <w:lang w:val="en-US" w:eastAsia="zh-CN"/>
              </w:rPr>
              <w:suppressLineNumbers w:val="0"/>
            </w:pPr>
            <w:r>
              <w:rPr>
                <w:rFonts w:hint="eastAsia"/>
                <w:sz w:val="24"/>
                <w:szCs w:val="24"/>
                <w:vertAlign w:val="baseline"/>
                <w:lang w:val="en-US" w:eastAsia="zh-CN"/>
              </w:rPr>
              <w:t xml:space="preserve">合计</w:t>
            </w:r>
            <w:r/>
          </w:p>
        </w:tc>
        <w:tc>
          <w:tcPr>
            <w:tcW w:w="1334"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c>
          <w:tcPr>
            <w:tcW w:w="1272" w:type="dxa"/>
            <w:vAlign w:val="center"/>
            <w:textDirection w:val="lrTb"/>
            <w:noWrap w:val="false"/>
          </w:tcPr>
          <w:p>
            <w:pPr>
              <w:jc w:val="center"/>
              <w:keepLines w:val="0"/>
              <w:keepNext w:val="0"/>
              <w:spacing w:after="0" w:line="240" w:lineRule="auto"/>
              <w:widowControl/>
              <w:rPr>
                <w:sz w:val="24"/>
                <w:szCs w:val="24"/>
                <w:vertAlign w:val="baseline"/>
              </w:rPr>
              <w:suppressLineNumbers w:val="0"/>
            </w:pPr>
            <w:r>
              <w:rPr>
                <w:sz w:val="24"/>
                <w:szCs w:val="24"/>
                <w:vertAlign w:val="baseline"/>
              </w:rPr>
            </w:r>
            <w:r/>
          </w:p>
        </w:tc>
      </w:tr>
    </w:tbl>
    <w:p>
      <w:pPr>
        <w:ind w:firstLine="480"/>
        <w:jc w:val="righ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righ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righ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投标人名称（加盖公章）：</w:t>
      </w:r>
      <w:r>
        <w:rPr>
          <w:rFonts w:hint="default" w:ascii="Times New Roman" w:hAnsi="Times New Roman" w:eastAsia="宋体" w:cs="Times New Roman"/>
          <w:color w:val="000000"/>
          <w:sz w:val="24"/>
          <w:szCs w:val="24"/>
          <w:lang w:val="en-US" w:eastAsia="zh-CN" w:bidi="ar"/>
        </w:rPr>
        <w:t xml:space="preserve">______ </w:t>
      </w:r>
      <w:r/>
    </w:p>
    <w:p>
      <w:pPr>
        <w:ind w:firstLine="480"/>
        <w:jc w:val="righ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日期：</w:t>
      </w:r>
      <w:r>
        <w:rPr>
          <w:rFonts w:hint="default"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年</w:t>
      </w:r>
      <w:r>
        <w:rPr>
          <w:rFonts w:hint="default"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月</w:t>
      </w:r>
      <w:r>
        <w:rPr>
          <w:rFonts w:hint="default"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r>
      <w:r/>
    </w:p>
    <w:p>
      <w:pPr>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注： </w:t>
      </w:r>
      <w:r/>
    </w:p>
    <w:p>
      <w:pPr>
        <w:ind w:firstLine="480"/>
        <w:jc w:val="left"/>
        <w:keepLines w:val="0"/>
        <w:keepNext w:val="0"/>
        <w:widowControl/>
        <w:suppressLineNumbers w:val="0"/>
      </w:pPr>
      <w:r>
        <w:rPr>
          <w:rFonts w:hint="default" w:ascii="Times New Roman" w:hAnsi="Times New Roman" w:eastAsia="宋体" w:cs="Times New Roman"/>
          <w:color w:val="000000"/>
          <w:sz w:val="24"/>
          <w:szCs w:val="24"/>
          <w:lang w:val="en-US" w:eastAsia="zh-CN" w:bidi="ar"/>
        </w:rPr>
        <w:t xml:space="preserve">1</w:t>
      </w:r>
      <w:bookmarkStart w:id="209" w:name="OLE_LINK3"/>
      <w:r>
        <w:rPr>
          <w:rFonts w:hint="default" w:ascii="Times New Roman" w:hAnsi="Times New Roman" w:eastAsia="宋体" w:cs="Times New Roman"/>
          <w:color w:val="000000"/>
          <w:sz w:val="24"/>
          <w:szCs w:val="24"/>
          <w:lang w:val="en-US" w:eastAsia="zh-CN" w:bidi="ar"/>
        </w:rPr>
        <w:t xml:space="preserve">.</w:t>
      </w:r>
      <w:bookmarkEnd w:id="209"/>
      <w:r>
        <w:rPr>
          <w:rFonts w:hint="eastAsia" w:ascii="宋体" w:hAnsi="宋体" w:eastAsia="宋体" w:cs="宋体"/>
          <w:color w:val="000000"/>
          <w:sz w:val="24"/>
          <w:szCs w:val="24"/>
          <w:lang w:val="en-US" w:eastAsia="zh-CN" w:bidi="ar"/>
        </w:rPr>
        <w:t xml:space="preserve">如本项目（包）允许分包，且投标人拟在中标后进行分包的，必须在投标文件中提供分包情况说明。 </w:t>
      </w:r>
      <w:r/>
    </w:p>
    <w:p>
      <w:pPr>
        <w:ind w:firstLine="480"/>
        <w:jc w:val="left"/>
        <w:widowControl/>
        <w:rPr>
          <w:rFonts w:hint="eastAsia"/>
          <w:lang w:val="en-US" w:eastAsia="zh-CN"/>
        </w:rPr>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suppressLineNumbers w:val="0"/>
      </w:pPr>
      <w:r>
        <w:rPr>
          <w:rFonts w:hint="eastAsia" w:ascii="方正小标宋简体" w:hAnsi="方正小标宋简体" w:eastAsia="方正小标宋简体" w:cs="方正小标宋简体"/>
          <w:b w:val="0"/>
          <w:bCs w:val="0"/>
          <w:sz w:val="32"/>
          <w:szCs w:val="32"/>
          <w:lang w:val="en-US" w:eastAsia="zh-CN"/>
        </w:rPr>
        <w:br w:type="page" w:clear="all"/>
      </w:r>
      <w:r>
        <w:rPr>
          <w:rFonts w:hint="eastAsia" w:ascii="方正小标宋简体" w:hAnsi="方正小标宋简体" w:eastAsia="方正小标宋简体" w:cs="方正小标宋简体"/>
          <w:b w:val="0"/>
          <w:bCs w:val="0"/>
          <w:color w:val="000000"/>
          <w:sz w:val="32"/>
          <w:szCs w:val="32"/>
          <w:lang w:val="en-US" w:eastAsia="zh-CN" w:bidi="ar"/>
        </w:rPr>
        <w:t xml:space="preserve">分包意向协议</w:t>
      </w:r>
      <w:r/>
    </w:p>
    <w:p>
      <w:pPr>
        <w:ind w:firstLine="480"/>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甲方（投标人）：</w:t>
      </w:r>
      <w:r>
        <w:rPr>
          <w:rFonts w:hint="default" w:ascii="Times New Roman" w:hAnsi="Times New Roman" w:eastAsia="宋体" w:cs="Times New Roman"/>
          <w:color w:val="000000"/>
          <w:sz w:val="24"/>
          <w:szCs w:val="24"/>
          <w:lang w:val="en-US" w:eastAsia="zh-CN" w:bidi="ar"/>
        </w:rPr>
        <w:t xml:space="preserve">________ </w:t>
      </w:r>
      <w:r/>
    </w:p>
    <w:p>
      <w:pPr>
        <w:ind w:firstLine="480"/>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乙方（分包承担主体）：</w:t>
      </w:r>
      <w:r>
        <w:rPr>
          <w:rFonts w:hint="default" w:ascii="Times New Roman" w:hAnsi="Times New Roman" w:eastAsia="宋体" w:cs="Times New Roman"/>
          <w:color w:val="000000"/>
          <w:sz w:val="24"/>
          <w:szCs w:val="24"/>
          <w:lang w:val="en-US" w:eastAsia="zh-CN" w:bidi="ar"/>
        </w:rPr>
        <w:t xml:space="preserve">________ </w:t>
      </w:r>
      <w:r/>
    </w:p>
    <w:p>
      <w:pPr>
        <w:ind w:firstLine="480"/>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甲方承诺，一旦在项目编号为</w:t>
      </w:r>
      <w:r>
        <w:rPr>
          <w:rFonts w:hint="default"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的</w:t>
      </w:r>
      <w:r>
        <w:rPr>
          <w:rFonts w:hint="default" w:ascii="Times New Roman" w:hAnsi="Times New Roman" w:eastAsia="宋体" w:cs="Times New Roman"/>
          <w:color w:val="000000"/>
          <w:sz w:val="24"/>
          <w:szCs w:val="24"/>
          <w:lang w:val="en-US" w:eastAsia="zh-CN" w:bidi="ar"/>
        </w:rPr>
        <w:t xml:space="preserve">_________</w:t>
      </w:r>
      <w:r>
        <w:rPr>
          <w:rFonts w:hint="eastAsia" w:ascii="宋体" w:hAnsi="宋体" w:eastAsia="宋体" w:cs="宋体"/>
          <w:color w:val="000000"/>
          <w:sz w:val="24"/>
          <w:szCs w:val="24"/>
          <w:lang w:val="en-US" w:eastAsia="zh-CN" w:bidi="ar"/>
        </w:rPr>
        <w:t xml:space="preserve">项目（项目名称）</w:t>
      </w:r>
      <w:r>
        <w:rPr>
          <w:rFonts w:hint="default" w:ascii="Times New Roman" w:hAnsi="Times New Roman" w:eastAsia="宋体" w:cs="Times New Roman"/>
          <w:color w:val="000000"/>
          <w:sz w:val="24"/>
          <w:szCs w:val="24"/>
          <w:u w:val="single"/>
          <w:lang w:val="en-US" w:eastAsia="zh-CN" w:bidi="ar"/>
        </w:rPr>
        <w:t xml:space="preserve"> 采购包1 </w:t>
      </w:r>
      <w:r>
        <w:rPr>
          <w:rFonts w:hint="eastAsia" w:ascii="宋体" w:hAnsi="宋体" w:eastAsia="宋体" w:cs="宋体"/>
          <w:color w:val="000000"/>
          <w:sz w:val="24"/>
          <w:szCs w:val="24"/>
          <w:lang w:val="en-US" w:eastAsia="zh-CN" w:bidi="ar"/>
        </w:rPr>
        <w:t xml:space="preserve">（采购包号）中获得采购合同，将按照下述约定将合同项下部分内容分包给乙方： </w:t>
      </w:r>
      <w:r/>
    </w:p>
    <w:p>
      <w:pPr>
        <w:ind w:firstLine="480"/>
        <w:jc w:val="left"/>
        <w:keepLines w:val="0"/>
        <w:keepNext w:val="0"/>
        <w:widowControl/>
        <w:rPr>
          <w:rFonts w:hint="default" w:ascii="Times New Roman" w:hAnsi="Times New Roman" w:eastAsia="宋体" w:cs="Times New Roman"/>
          <w:color w:val="000000"/>
          <w:lang w:val="en-US" w:eastAsia="zh-CN" w:bidi="ar"/>
          <w14:ligatures w14:val="none"/>
        </w:rPr>
        <w:suppressLineNumbers w:val="0"/>
      </w:pP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分包内容：</w:t>
      </w:r>
      <w:r>
        <w:rPr>
          <w:rFonts w:hint="default" w:ascii="Times New Roman" w:hAnsi="Times New Roman" w:eastAsia="宋体" w:cs="Times New Roman"/>
          <w:color w:val="000000"/>
          <w:sz w:val="24"/>
          <w:szCs w:val="24"/>
          <w:u w:val="single"/>
          <w:lang w:val="en-US" w:eastAsia="zh-CN" w:bidi="ar"/>
        </w:rPr>
        <w:t xml:space="preserve"> 项目清单序号15：墙面管路预埋 </w:t>
      </w:r>
      <w:r>
        <w:rPr>
          <w:rFonts w:hint="default" w:ascii="Times New Roman" w:hAnsi="Times New Roman" w:eastAsia="宋体"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14:ligatures w14:val="none"/>
        </w:rPr>
      </w:r>
      <w:r/>
    </w:p>
    <w:p>
      <w:pPr>
        <w:ind w:firstLine="480"/>
        <w:jc w:val="left"/>
        <w:keepLines w:val="0"/>
        <w:keepNext w:val="0"/>
        <w:widowControl/>
        <w:rPr>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分包金额：</w:t>
      </w:r>
      <w:r>
        <w:rPr>
          <w:rFonts w:hint="default"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，该金额占该采购包合同金额的比例为</w:t>
      </w:r>
      <w:r>
        <w:rPr>
          <w:rFonts w:hint="default"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 </w:t>
      </w:r>
      <w:r/>
    </w:p>
    <w:p>
      <w:pPr>
        <w:ind w:firstLine="480"/>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乙方承诺将在上述情况下与甲方签订分包合同。 </w:t>
      </w:r>
      <w:r/>
    </w:p>
    <w:p>
      <w:pPr>
        <w:ind w:firstLine="480"/>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righ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righ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甲方（盖章）：</w:t>
      </w:r>
      <w:r>
        <w:rPr>
          <w:rFonts w:hint="default" w:ascii="Times New Roman" w:hAnsi="Times New Roman" w:eastAsia="宋体" w:cs="Times New Roman"/>
          <w:color w:val="000000"/>
          <w:sz w:val="24"/>
          <w:szCs w:val="24"/>
          <w:lang w:val="en-US" w:eastAsia="zh-CN" w:bidi="ar"/>
        </w:rPr>
        <w:t xml:space="preserve">_________ </w:t>
      </w:r>
      <w:r/>
    </w:p>
    <w:p>
      <w:pPr>
        <w:ind w:firstLine="480"/>
        <w:jc w:val="righ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乙方（盖章）：</w:t>
      </w:r>
      <w:r>
        <w:rPr>
          <w:rFonts w:hint="default" w:ascii="Times New Roman" w:hAnsi="Times New Roman" w:eastAsia="宋体" w:cs="Times New Roman"/>
          <w:color w:val="000000"/>
          <w:sz w:val="24"/>
          <w:szCs w:val="24"/>
          <w:lang w:val="en-US" w:eastAsia="zh-CN" w:bidi="ar"/>
        </w:rPr>
        <w:t xml:space="preserve">_________ </w:t>
      </w:r>
      <w:r/>
    </w:p>
    <w:p>
      <w:pPr>
        <w:ind w:firstLine="480"/>
        <w:jc w:val="righ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日期：</w:t>
      </w:r>
      <w:r>
        <w:rPr>
          <w:rFonts w:hint="default"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年</w:t>
      </w:r>
      <w:r>
        <w:rPr>
          <w:rFonts w:hint="default"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月</w:t>
      </w:r>
      <w:r>
        <w:rPr>
          <w:rFonts w:hint="default"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日</w:t>
      </w:r>
      <w:r>
        <w:rPr>
          <w:rFonts w:hint="default" w:ascii="Times New Roman" w:hAnsi="Times New Roman" w:eastAsia="宋体" w:cs="Times New Roman"/>
          <w:color w:val="000000"/>
          <w:sz w:val="24"/>
          <w:szCs w:val="24"/>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注： </w:t>
      </w:r>
      <w:r/>
    </w:p>
    <w:p>
      <w:pPr>
        <w:ind w:firstLine="480"/>
        <w:jc w:val="left"/>
        <w:keepLines w:val="0"/>
        <w:keepNext w:val="0"/>
        <w:widowControl/>
        <w:suppressLineNumbers w:val="0"/>
      </w:pPr>
      <w:r>
        <w:rPr>
          <w:rFonts w:hint="default" w:ascii="Times New Roman" w:hAnsi="Times New Roman" w:eastAsia="宋体" w:cs="Times New Roman"/>
          <w:color w:val="000000"/>
          <w:sz w:val="24"/>
          <w:szCs w:val="24"/>
          <w:lang w:val="en-US" w:eastAsia="zh-CN" w:bidi="ar"/>
        </w:rPr>
        <w:t xml:space="preserve">1.如本项目（</w:t>
      </w:r>
      <w:r>
        <w:rPr>
          <w:rFonts w:hint="eastAsia" w:ascii="Times New Roman" w:hAnsi="Times New Roman" w:eastAsia="宋体" w:cs="Times New Roman"/>
          <w:color w:val="000000"/>
          <w:sz w:val="24"/>
          <w:szCs w:val="24"/>
          <w:lang w:val="en-US" w:eastAsia="zh-CN" w:bidi="ar"/>
        </w:rPr>
        <w:t xml:space="preserve">采购</w:t>
      </w:r>
      <w:r>
        <w:rPr>
          <w:rFonts w:hint="default" w:ascii="Times New Roman" w:hAnsi="Times New Roman" w:eastAsia="宋体" w:cs="Times New Roman"/>
          <w:color w:val="000000"/>
          <w:sz w:val="24"/>
          <w:szCs w:val="24"/>
          <w:lang w:val="en-US" w:eastAsia="zh-CN" w:bidi="ar"/>
        </w:rPr>
        <w:t xml:space="preserve">包）允许分包，且投标人拟</w:t>
      </w:r>
      <w:r>
        <w:rPr>
          <w:rFonts w:hint="eastAsia" w:ascii="Times New Roman" w:hAnsi="Times New Roman" w:eastAsia="宋体" w:cs="Times New Roman"/>
          <w:color w:val="000000"/>
          <w:sz w:val="24"/>
          <w:szCs w:val="24"/>
          <w:lang w:val="en-US" w:eastAsia="zh-CN" w:bidi="ar"/>
        </w:rPr>
        <w:t xml:space="preserve">在中标后</w:t>
      </w:r>
      <w:r>
        <w:rPr>
          <w:rFonts w:hint="default" w:ascii="Times New Roman" w:hAnsi="Times New Roman" w:eastAsia="宋体" w:cs="Times New Roman"/>
          <w:color w:val="000000"/>
          <w:sz w:val="24"/>
          <w:szCs w:val="24"/>
          <w:lang w:val="en-US" w:eastAsia="zh-CN" w:bidi="ar"/>
        </w:rPr>
        <w:t xml:space="preserve">进行分包</w:t>
      </w:r>
      <w:r>
        <w:rPr>
          <w:rFonts w:hint="eastAsia" w:ascii="Times New Roman" w:hAnsi="Times New Roman" w:eastAsia="宋体" w:cs="Times New Roman"/>
          <w:color w:val="000000"/>
          <w:sz w:val="24"/>
          <w:szCs w:val="24"/>
          <w:lang w:val="en-US" w:eastAsia="zh-CN" w:bidi="ar"/>
        </w:rPr>
        <w:t xml:space="preserve">的</w:t>
      </w:r>
      <w:r>
        <w:rPr>
          <w:rFonts w:hint="default" w:ascii="Times New Roman" w:hAnsi="Times New Roman" w:eastAsia="宋体" w:cs="Times New Roman"/>
          <w:color w:val="000000"/>
          <w:sz w:val="24"/>
          <w:szCs w:val="24"/>
          <w:lang w:val="en-US" w:eastAsia="zh-CN" w:bidi="ar"/>
        </w:rPr>
        <w:t xml:space="preserve">，必须</w:t>
      </w:r>
      <w:r>
        <w:rPr>
          <w:rFonts w:hint="eastAsia" w:ascii="Times New Roman" w:hAnsi="Times New Roman" w:eastAsia="宋体" w:cs="Times New Roman"/>
          <w:color w:val="000000"/>
          <w:sz w:val="24"/>
          <w:szCs w:val="24"/>
          <w:lang w:val="en-US" w:eastAsia="zh-CN" w:bidi="ar"/>
        </w:rPr>
        <w:t xml:space="preserve">在投标文件中</w:t>
      </w:r>
      <w:r>
        <w:rPr>
          <w:rFonts w:hint="default" w:ascii="Times New Roman" w:hAnsi="Times New Roman" w:eastAsia="宋体" w:cs="Times New Roman"/>
          <w:color w:val="000000"/>
          <w:sz w:val="24"/>
          <w:szCs w:val="24"/>
          <w:lang w:val="en-US" w:eastAsia="zh-CN" w:bidi="ar"/>
        </w:rPr>
        <w:t xml:space="preserve">提供</w:t>
      </w:r>
      <w:r>
        <w:rPr>
          <w:rFonts w:hint="eastAsia" w:ascii="Times New Roman" w:hAnsi="Times New Roman" w:eastAsia="宋体" w:cs="Times New Roman"/>
          <w:color w:val="000000"/>
          <w:sz w:val="24"/>
          <w:szCs w:val="24"/>
          <w:lang w:val="en-US" w:eastAsia="zh-CN" w:bidi="ar"/>
        </w:rPr>
        <w:t xml:space="preserve">本协议</w:t>
      </w:r>
      <w:r>
        <w:rPr>
          <w:rFonts w:hint="eastAsia" w:ascii="宋体" w:hAnsi="宋体" w:eastAsia="宋体" w:cs="宋体"/>
          <w:color w:val="000000"/>
          <w:sz w:val="24"/>
          <w:szCs w:val="24"/>
          <w:lang w:val="en-US" w:eastAsia="zh-CN" w:bidi="ar"/>
        </w:rPr>
        <w:t xml:space="preserve">。 </w:t>
      </w:r>
      <w:r/>
    </w:p>
    <w:p>
      <w:pPr>
        <w:ind w:firstLine="480"/>
        <w:jc w:val="left"/>
        <w:keepLines w:val="0"/>
        <w:keepNext w:val="0"/>
        <w:widowControl/>
        <w:suppressLineNumbers w:val="0"/>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投标人满足《政府采购促进中小企业发展管理办法》（财库〔</w:t>
      </w:r>
      <w:r>
        <w:rPr>
          <w:rFonts w:hint="default" w:ascii="Times New Roman" w:hAnsi="Times New Roman" w:eastAsia="宋体" w:cs="Times New Roman"/>
          <w:color w:val="000000"/>
          <w:sz w:val="24"/>
          <w:szCs w:val="24"/>
          <w:lang w:val="en-US" w:eastAsia="zh-CN" w:bidi="ar"/>
        </w:rPr>
        <w:t xml:space="preserve">2020</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46 </w:t>
      </w:r>
      <w:r>
        <w:rPr>
          <w:rFonts w:hint="eastAsia" w:ascii="宋体" w:hAnsi="宋体" w:eastAsia="宋体" w:cs="宋体"/>
          <w:color w:val="000000"/>
          <w:sz w:val="24"/>
          <w:szCs w:val="24"/>
          <w:lang w:val="en-US" w:eastAsia="zh-CN" w:bidi="ar"/>
        </w:rPr>
        <w:t xml:space="preserve">号）第九条 </w:t>
      </w:r>
      <w:r/>
    </w:p>
    <w:p>
      <w:pPr>
        <w:ind w:firstLine="0"/>
        <w:jc w:val="left"/>
        <w:keepLines w:val="0"/>
        <w:keepNext w:val="0"/>
        <w:widowControl/>
        <w:suppressLineNumbers w:val="0"/>
      </w:pPr>
      <w:r>
        <w:rPr>
          <w:rFonts w:hint="eastAsia" w:ascii="宋体" w:hAnsi="宋体" w:eastAsia="宋体" w:cs="宋体"/>
          <w:color w:val="000000"/>
          <w:sz w:val="24"/>
          <w:szCs w:val="24"/>
          <w:lang w:val="en-US" w:eastAsia="zh-CN" w:bidi="ar"/>
        </w:rPr>
        <w:t xml:space="preserve">有关规定，拟享受中小企业政策优惠措施的，仍需提供本协议，否则不予认可； </w:t>
      </w:r>
      <w:r/>
    </w:p>
    <w:p>
      <w:pPr>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投标人须按分包情况说明与所有拟分包承担主体分别签订《分包意向协议》，并在投标文件中提交。</w:t>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４２</w:t>
    </w:r>
    <w:r>
      <w:rPr>
        <w:rFonts w:ascii="宋体" w:hAnsi="宋体"/>
      </w:rPr>
      <w:fldChar w:fldCharType="end"/>
    </w:r>
    <w:r/>
  </w:p>
  <w:p>
    <w:pPr>
      <w:pStyle w:val="92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3">
    <w:multiLevelType w:val="hybridMultilevel"/>
    <w:lvl w:ilvl="0">
      <w:start w:val="1"/>
      <w:numFmt w:val="decimal"/>
      <w:pStyle w:val="9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26"/>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7"/>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1"/>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3"/>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4"/>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uiPriority w:val="0"/>
    <w:qFormat/>
    <w:pPr>
      <w:ind w:left="0" w:firstLine="420"/>
      <w:spacing w:after="0" w:line="360" w:lineRule="auto"/>
    </w:pPr>
    <w:rPr>
      <w:rFonts w:ascii="宋体" w:hAnsi="宋体" w:eastAsia="宋体" w:cs="Times New Roman"/>
      <w:szCs w:val="20"/>
    </w:rPr>
  </w:style>
  <w:style w:type="paragraph" w:styleId="701">
    <w:name w:val="Body Text Indent"/>
    <w:basedOn w:val="688"/>
    <w:next w:val="702"/>
    <w:uiPriority w:val="0"/>
    <w:unhideWhenUsed/>
    <w:qFormat/>
    <w:pPr>
      <w:ind w:left="420"/>
      <w:spacing w:after="120"/>
    </w:pPr>
  </w:style>
  <w:style w:type="paragraph" w:styleId="702">
    <w:name w:val="envelope return"/>
    <w:basedOn w:val="688"/>
    <w:uiPriority w:val="0"/>
    <w:qFormat/>
    <w:rPr>
      <w:rFonts w:ascii="Arial" w:hAnsi="Arial" w:eastAsia="宋体" w:cs="宋体"/>
    </w:rPr>
  </w:style>
  <w:style w:type="paragraph" w:styleId="703">
    <w:name w:val="toc 7"/>
    <w:basedOn w:val="688"/>
    <w:next w:val="688"/>
    <w:uiPriority w:val="39"/>
    <w:unhideWhenUsed/>
    <w:qFormat/>
    <w:pPr>
      <w:ind w:left="1701" w:right="0" w:firstLine="0"/>
      <w:spacing w:after="57"/>
    </w:pPr>
  </w:style>
  <w:style w:type="paragraph" w:styleId="704">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88"/>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06">
    <w:name w:val="toc 5"/>
    <w:basedOn w:val="688"/>
    <w:next w:val="688"/>
    <w:uiPriority w:val="39"/>
    <w:unhideWhenUsed/>
    <w:qFormat/>
    <w:pPr>
      <w:ind w:left="1134" w:right="0" w:firstLine="0"/>
      <w:spacing w:after="57"/>
    </w:pPr>
  </w:style>
  <w:style w:type="paragraph" w:styleId="707">
    <w:name w:val="toc 3"/>
    <w:basedOn w:val="688"/>
    <w:next w:val="688"/>
    <w:uiPriority w:val="39"/>
    <w:unhideWhenUsed/>
    <w:qFormat/>
    <w:pPr>
      <w:ind w:left="567" w:right="0" w:firstLine="0"/>
      <w:spacing w:after="57"/>
    </w:pPr>
  </w:style>
  <w:style w:type="paragraph" w:styleId="708">
    <w:name w:val="toc 8"/>
    <w:basedOn w:val="688"/>
    <w:next w:val="688"/>
    <w:uiPriority w:val="39"/>
    <w:unhideWhenUsed/>
    <w:qFormat/>
    <w:pPr>
      <w:ind w:left="1984" w:right="0" w:firstLine="0"/>
      <w:spacing w:after="57"/>
    </w:pPr>
  </w:style>
  <w:style w:type="paragraph" w:styleId="709">
    <w:name w:val="endnote text"/>
    <w:basedOn w:val="688"/>
    <w:link w:val="872"/>
    <w:uiPriority w:val="99"/>
    <w:semiHidden/>
    <w:unhideWhenUsed/>
    <w:qFormat/>
    <w:pPr>
      <w:spacing w:after="0" w:line="240" w:lineRule="auto"/>
    </w:pPr>
    <w:rPr>
      <w:sz w:val="20"/>
    </w:rPr>
  </w:style>
  <w:style w:type="paragraph" w:styleId="710">
    <w:name w:val="Footer"/>
    <w:basedOn w:val="688"/>
    <w:link w:val="745"/>
    <w:uiPriority w:val="99"/>
    <w:unhideWhenUsed/>
    <w:qFormat/>
    <w:pPr>
      <w:spacing w:after="0" w:line="240" w:lineRule="auto"/>
      <w:tabs>
        <w:tab w:val="center" w:pos="7143" w:leader="none"/>
        <w:tab w:val="right" w:pos="14287" w:leader="none"/>
      </w:tabs>
    </w:pPr>
  </w:style>
  <w:style w:type="paragraph" w:styleId="711">
    <w:name w:val="Header"/>
    <w:basedOn w:val="688"/>
    <w:link w:val="743"/>
    <w:uiPriority w:val="99"/>
    <w:unhideWhenUsed/>
    <w:pPr>
      <w:spacing w:after="0" w:line="240" w:lineRule="auto"/>
      <w:tabs>
        <w:tab w:val="center" w:pos="7143" w:leader="none"/>
        <w:tab w:val="right" w:pos="14287" w:leader="none"/>
      </w:tabs>
    </w:pPr>
  </w:style>
  <w:style w:type="paragraph" w:styleId="712">
    <w:name w:val="toc 1"/>
    <w:basedOn w:val="688"/>
    <w:next w:val="688"/>
    <w:uiPriority w:val="39"/>
    <w:unhideWhenUsed/>
    <w:qFormat/>
    <w:pPr>
      <w:ind w:left="0" w:right="0" w:firstLine="0"/>
      <w:spacing w:after="57"/>
    </w:pPr>
  </w:style>
  <w:style w:type="paragraph" w:styleId="713">
    <w:name w:val="toc 4"/>
    <w:basedOn w:val="688"/>
    <w:next w:val="688"/>
    <w:uiPriority w:val="39"/>
    <w:unhideWhenUsed/>
    <w:pPr>
      <w:ind w:left="850" w:right="0" w:firstLine="0"/>
      <w:spacing w:after="57"/>
    </w:pPr>
  </w:style>
  <w:style w:type="paragraph" w:styleId="714">
    <w:name w:val="Subtitle"/>
    <w:basedOn w:val="688"/>
    <w:next w:val="688"/>
    <w:link w:val="738"/>
    <w:uiPriority w:val="11"/>
    <w:qFormat/>
    <w:pPr>
      <w:spacing w:before="200" w:after="200"/>
    </w:pPr>
    <w:rPr>
      <w:sz w:val="24"/>
      <w:szCs w:val="24"/>
    </w:rPr>
  </w:style>
  <w:style w:type="paragraph" w:styleId="715">
    <w:name w:val="footnote text"/>
    <w:basedOn w:val="688"/>
    <w:link w:val="871"/>
    <w:uiPriority w:val="99"/>
    <w:semiHidden/>
    <w:unhideWhenUsed/>
    <w:qFormat/>
    <w:pPr>
      <w:spacing w:after="40" w:line="240" w:lineRule="auto"/>
    </w:pPr>
    <w:rPr>
      <w:sz w:val="18"/>
    </w:rPr>
  </w:style>
  <w:style w:type="paragraph" w:styleId="716">
    <w:name w:val="toc 6"/>
    <w:basedOn w:val="688"/>
    <w:next w:val="688"/>
    <w:uiPriority w:val="39"/>
    <w:unhideWhenUsed/>
    <w:qFormat/>
    <w:pPr>
      <w:ind w:left="1417" w:right="0" w:firstLine="0"/>
      <w:spacing w:after="57"/>
    </w:pPr>
  </w:style>
  <w:style w:type="paragraph" w:styleId="717">
    <w:name w:val="table of figures"/>
    <w:basedOn w:val="688"/>
    <w:next w:val="688"/>
    <w:uiPriority w:val="99"/>
    <w:unhideWhenUsed/>
    <w:qFormat/>
    <w:pPr>
      <w:spacing w:after="0" w:afterAutospacing="0"/>
    </w:pPr>
  </w:style>
  <w:style w:type="paragraph" w:styleId="718">
    <w:name w:val="toc 2"/>
    <w:basedOn w:val="688"/>
    <w:next w:val="688"/>
    <w:uiPriority w:val="39"/>
    <w:unhideWhenUsed/>
    <w:qFormat/>
    <w:pPr>
      <w:ind w:left="283" w:right="0" w:firstLine="0"/>
      <w:spacing w:after="57"/>
    </w:pPr>
  </w:style>
  <w:style w:type="paragraph" w:styleId="719">
    <w:name w:val="toc 9"/>
    <w:basedOn w:val="688"/>
    <w:next w:val="688"/>
    <w:uiPriority w:val="39"/>
    <w:unhideWhenUsed/>
    <w:qFormat/>
    <w:pPr>
      <w:ind w:left="2268" w:right="0" w:firstLine="0"/>
      <w:spacing w:after="57"/>
    </w:pPr>
  </w:style>
  <w:style w:type="paragraph" w:styleId="720">
    <w:name w:val="Title"/>
    <w:basedOn w:val="688"/>
    <w:next w:val="688"/>
    <w:link w:val="737"/>
    <w:uiPriority w:val="10"/>
    <w:qFormat/>
    <w:pPr>
      <w:contextualSpacing/>
      <w:spacing w:before="300" w:after="200"/>
    </w:pPr>
    <w:rPr>
      <w:sz w:val="48"/>
      <w:szCs w:val="48"/>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footnote reference"/>
    <w:uiPriority w:val="99"/>
    <w:unhideWhenUsed/>
    <w:qFormat/>
    <w:rPr>
      <w:vertAlign w:val="superscript"/>
    </w:rPr>
  </w:style>
  <w:style w:type="paragraph" w:styleId="725" w:customStyle="1">
    <w:name w:val="正文1"/>
    <w:basedOn w:val="688"/>
    <w:uiPriority w:val="0"/>
    <w:qFormat/>
    <w:pPr>
      <w:ind w:left="350" w:firstLine="0"/>
    </w:pPr>
    <w:rPr>
      <w:rFonts w:cs="Times New Roman"/>
      <w:sz w:val="20"/>
      <w:szCs w:val="24"/>
    </w:rPr>
  </w:style>
  <w:style w:type="character" w:styleId="726" w:customStyle="1">
    <w:name w:val="Heading 1 Char"/>
    <w:link w:val="689"/>
    <w:uiPriority w:val="9"/>
    <w:qFormat/>
    <w:rPr>
      <w:rFonts w:ascii="Arial" w:hAnsi="Arial" w:eastAsia="Arial" w:cs="Arial"/>
      <w:sz w:val="40"/>
      <w:szCs w:val="40"/>
    </w:rPr>
  </w:style>
  <w:style w:type="character" w:styleId="727" w:customStyle="1">
    <w:name w:val="Heading 2 Char"/>
    <w:link w:val="690"/>
    <w:uiPriority w:val="9"/>
    <w:qFormat/>
    <w:rPr>
      <w:rFonts w:ascii="Arial" w:hAnsi="Arial" w:eastAsia="Arial" w:cs="Arial"/>
      <w:sz w:val="34"/>
    </w:rPr>
  </w:style>
  <w:style w:type="character" w:styleId="728" w:customStyle="1">
    <w:name w:val="Heading 3 Char"/>
    <w:link w:val="691"/>
    <w:uiPriority w:val="9"/>
    <w:qFormat/>
    <w:rPr>
      <w:rFonts w:ascii="Arial" w:hAnsi="Arial" w:eastAsia="Arial" w:cs="Arial"/>
      <w:sz w:val="30"/>
      <w:szCs w:val="30"/>
    </w:rPr>
  </w:style>
  <w:style w:type="character" w:styleId="729" w:customStyle="1">
    <w:name w:val="Heading 4 Char"/>
    <w:link w:val="692"/>
    <w:uiPriority w:val="9"/>
    <w:qFormat/>
    <w:rPr>
      <w:rFonts w:ascii="Arial" w:hAnsi="Arial" w:eastAsia="Arial" w:cs="Arial"/>
      <w:b/>
      <w:bCs/>
      <w:sz w:val="26"/>
      <w:szCs w:val="26"/>
    </w:rPr>
  </w:style>
  <w:style w:type="character" w:styleId="730" w:customStyle="1">
    <w:name w:val="Heading 5 Char"/>
    <w:link w:val="693"/>
    <w:uiPriority w:val="9"/>
    <w:qFormat/>
    <w:rPr>
      <w:rFonts w:ascii="Arial" w:hAnsi="Arial" w:eastAsia="Arial" w:cs="Arial"/>
      <w:b/>
      <w:bCs/>
      <w:sz w:val="24"/>
      <w:szCs w:val="24"/>
    </w:rPr>
  </w:style>
  <w:style w:type="character" w:styleId="731" w:customStyle="1">
    <w:name w:val="Heading 6 Char"/>
    <w:link w:val="694"/>
    <w:uiPriority w:val="9"/>
    <w:qFormat/>
    <w:rPr>
      <w:rFonts w:ascii="Arial" w:hAnsi="Arial" w:eastAsia="Arial" w:cs="Arial"/>
      <w:b/>
      <w:bCs/>
      <w:sz w:val="22"/>
      <w:szCs w:val="22"/>
    </w:rPr>
  </w:style>
  <w:style w:type="character" w:styleId="732" w:customStyle="1">
    <w:name w:val="Heading 7 Char"/>
    <w:link w:val="695"/>
    <w:uiPriority w:val="9"/>
    <w:qFormat/>
    <w:rPr>
      <w:rFonts w:ascii="Arial" w:hAnsi="Arial" w:eastAsia="Arial" w:cs="Arial"/>
      <w:b/>
      <w:bCs/>
      <w:i/>
      <w:iCs/>
      <w:sz w:val="22"/>
      <w:szCs w:val="22"/>
    </w:rPr>
  </w:style>
  <w:style w:type="character" w:styleId="733" w:customStyle="1">
    <w:name w:val="Heading 8 Char"/>
    <w:link w:val="696"/>
    <w:uiPriority w:val="9"/>
    <w:qFormat/>
    <w:rPr>
      <w:rFonts w:ascii="Arial" w:hAnsi="Arial" w:eastAsia="Arial" w:cs="Arial"/>
      <w:i/>
      <w:iCs/>
      <w:sz w:val="22"/>
      <w:szCs w:val="22"/>
    </w:rPr>
  </w:style>
  <w:style w:type="character" w:styleId="734" w:customStyle="1">
    <w:name w:val="Heading 9 Char"/>
    <w:link w:val="697"/>
    <w:uiPriority w:val="9"/>
    <w:qFormat/>
    <w:rPr>
      <w:rFonts w:ascii="Arial" w:hAnsi="Arial" w:eastAsia="Arial" w:cs="Arial"/>
      <w:i/>
      <w:iCs/>
      <w:sz w:val="21"/>
      <w:szCs w:val="21"/>
    </w:rPr>
  </w:style>
  <w:style w:type="paragraph" w:styleId="735">
    <w:name w:val="List Paragraph"/>
    <w:basedOn w:val="688"/>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0"/>
    <w:uiPriority w:val="10"/>
    <w:qFormat/>
    <w:rPr>
      <w:sz w:val="48"/>
      <w:szCs w:val="48"/>
    </w:rPr>
  </w:style>
  <w:style w:type="character" w:styleId="738" w:customStyle="1">
    <w:name w:val="Subtitle Char"/>
    <w:link w:val="714"/>
    <w:uiPriority w:val="11"/>
    <w:qFormat/>
    <w:rPr>
      <w:sz w:val="24"/>
      <w:szCs w:val="24"/>
    </w:rPr>
  </w:style>
  <w:style w:type="paragraph" w:styleId="739">
    <w:name w:val="Quote"/>
    <w:basedOn w:val="688"/>
    <w:next w:val="688"/>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8"/>
    <w:next w:val="68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1"/>
    <w:uiPriority w:val="99"/>
    <w:qFormat/>
  </w:style>
  <w:style w:type="character" w:styleId="744" w:customStyle="1">
    <w:name w:val="Footer Char"/>
    <w:link w:val="710"/>
    <w:uiPriority w:val="99"/>
    <w:qFormat/>
  </w:style>
  <w:style w:type="character" w:styleId="745" w:customStyle="1">
    <w:name w:val="Caption Char"/>
    <w:link w:val="710"/>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5"/>
    <w:uiPriority w:val="99"/>
    <w:qFormat/>
    <w:rPr>
      <w:sz w:val="18"/>
    </w:rPr>
  </w:style>
  <w:style w:type="character" w:styleId="872" w:customStyle="1">
    <w:name w:val="Endnote Text Char"/>
    <w:link w:val="709"/>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88"/>
    <w:next w:val="688"/>
    <w:link w:val="887"/>
    <w:uiPriority w:val="0"/>
    <w:qFormat/>
    <w:pPr>
      <w:jc w:val="center"/>
      <w:keepNext/>
      <w:outlineLvl w:val="0"/>
    </w:pPr>
    <w:rPr>
      <w:rFonts w:ascii="楷体_GB2312" w:hAnsi="Times New Roman" w:eastAsia="楷体_GB2312" w:cs="Times New Roman"/>
      <w:sz w:val="28"/>
      <w:szCs w:val="28"/>
    </w:rPr>
  </w:style>
  <w:style w:type="paragraph" w:styleId="875" w:customStyle="1">
    <w:name w:val="标题 21"/>
    <w:basedOn w:val="688"/>
    <w:next w:val="688"/>
    <w:link w:val="8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标题 31"/>
    <w:basedOn w:val="688"/>
    <w:next w:val="877"/>
    <w:link w:val="88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customStyle="1">
    <w:name w:val="正文缩进1"/>
    <w:basedOn w:val="688"/>
    <w:link w:val="890"/>
    <w:uiPriority w:val="0"/>
    <w:qFormat/>
    <w:pPr>
      <w:ind w:firstLine="420"/>
    </w:pPr>
    <w:rPr>
      <w:szCs w:val="21"/>
    </w:rPr>
  </w:style>
  <w:style w:type="paragraph" w:styleId="878" w:customStyle="1">
    <w:name w:val="标题 41"/>
    <w:basedOn w:val="688"/>
    <w:next w:val="877"/>
    <w:link w:val="891"/>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88"/>
    <w:next w:val="877"/>
    <w:link w:val="892"/>
    <w:uiPriority w:val="0"/>
    <w:qFormat/>
    <w:pPr>
      <w:keepNext/>
      <w:outlineLvl w:val="4"/>
    </w:pPr>
    <w:rPr>
      <w:rFonts w:ascii="宋体" w:hAnsi="Times New Roman" w:eastAsia="宋体" w:cs="Times New Roman"/>
      <w:color w:val="000000"/>
      <w:sz w:val="28"/>
      <w:szCs w:val="28"/>
    </w:rPr>
  </w:style>
  <w:style w:type="paragraph" w:styleId="880" w:customStyle="1">
    <w:name w:val="标题 61"/>
    <w:basedOn w:val="688"/>
    <w:next w:val="688"/>
    <w:link w:val="89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1" w:customStyle="1">
    <w:name w:val="标题 71"/>
    <w:basedOn w:val="688"/>
    <w:next w:val="688"/>
    <w:link w:val="89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2" w:customStyle="1">
    <w:name w:val="标题 81"/>
    <w:basedOn w:val="688"/>
    <w:next w:val="688"/>
    <w:link w:val="89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3" w:customStyle="1">
    <w:name w:val="标题 91"/>
    <w:basedOn w:val="688"/>
    <w:next w:val="688"/>
    <w:link w:val="89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4" w:customStyle="1">
    <w:name w:val="默认段落字体1"/>
    <w:link w:val="688"/>
    <w:uiPriority w:val="1"/>
    <w:unhideWhenUsed/>
    <w:qFormat/>
  </w:style>
  <w:style w:type="table" w:styleId="88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6" w:customStyle="1">
    <w:name w:val="索引 41"/>
    <w:basedOn w:val="688"/>
    <w:next w:val="688"/>
    <w:uiPriority w:val="0"/>
    <w:semiHidden/>
    <w:qFormat/>
    <w:pPr>
      <w:ind w:left="1260"/>
    </w:pPr>
    <w:rPr>
      <w:rFonts w:ascii="Calibri" w:hAnsi="Calibri" w:eastAsia="Calibri" w:cs="宋体"/>
      <w:sz w:val="20"/>
      <w:lang w:val="zh-CN"/>
    </w:rPr>
  </w:style>
  <w:style w:type="character" w:styleId="887" w:customStyle="1">
    <w:name w:val="标题 1 Char"/>
    <w:link w:val="874"/>
    <w:uiPriority w:val="0"/>
    <w:qFormat/>
    <w:rPr>
      <w:rFonts w:ascii="楷体_GB2312" w:hAnsi="Times New Roman" w:eastAsia="楷体_GB2312" w:cs="Times New Roman"/>
      <w:sz w:val="28"/>
      <w:szCs w:val="28"/>
    </w:rPr>
  </w:style>
  <w:style w:type="character" w:styleId="888" w:customStyle="1">
    <w:name w:val="标题 2 Char"/>
    <w:link w:val="875"/>
    <w:uiPriority w:val="0"/>
    <w:rPr>
      <w:rFonts w:ascii="Arial" w:hAnsi="Arial" w:eastAsia="幼圆" w:cs="Arial"/>
      <w:b/>
      <w:bCs/>
      <w:sz w:val="44"/>
      <w:szCs w:val="44"/>
    </w:rPr>
  </w:style>
  <w:style w:type="character" w:styleId="889" w:customStyle="1">
    <w:name w:val="标题 3 Char"/>
    <w:link w:val="876"/>
    <w:uiPriority w:val="0"/>
    <w:qFormat/>
    <w:rPr>
      <w:rFonts w:ascii="Times New Roman" w:hAnsi="Times New Roman" w:eastAsia="宋体" w:cs="Times New Roman"/>
      <w:b/>
      <w:bCs/>
      <w:sz w:val="32"/>
      <w:szCs w:val="32"/>
    </w:rPr>
  </w:style>
  <w:style w:type="character" w:styleId="890" w:customStyle="1">
    <w:name w:val="正文缩进 Char"/>
    <w:link w:val="877"/>
    <w:uiPriority w:val="0"/>
    <w:qFormat/>
    <w:rPr>
      <w:szCs w:val="21"/>
    </w:rPr>
  </w:style>
  <w:style w:type="character" w:styleId="891" w:customStyle="1">
    <w:name w:val="标题 4 Char"/>
    <w:link w:val="878"/>
    <w:uiPriority w:val="0"/>
    <w:qFormat/>
    <w:rPr>
      <w:rFonts w:ascii="Arial" w:hAnsi="Arial" w:eastAsia="黑体" w:cs="Arial"/>
      <w:b/>
      <w:bCs/>
      <w:sz w:val="28"/>
      <w:szCs w:val="28"/>
    </w:rPr>
  </w:style>
  <w:style w:type="character" w:styleId="892" w:customStyle="1">
    <w:name w:val="标题 5 Char"/>
    <w:link w:val="879"/>
    <w:uiPriority w:val="0"/>
    <w:qFormat/>
    <w:rPr>
      <w:rFonts w:ascii="宋体" w:hAnsi="Times New Roman" w:eastAsia="宋体" w:cs="Times New Roman"/>
      <w:color w:val="000000"/>
      <w:sz w:val="28"/>
      <w:szCs w:val="28"/>
    </w:rPr>
  </w:style>
  <w:style w:type="character" w:styleId="893" w:customStyle="1">
    <w:name w:val="标题 6 Char"/>
    <w:link w:val="880"/>
    <w:uiPriority w:val="0"/>
    <w:qFormat/>
    <w:rPr>
      <w:rFonts w:ascii="Arial" w:hAnsi="Arial" w:eastAsia="黑体" w:cs="Times New Roman"/>
      <w:b/>
      <w:bCs/>
      <w:sz w:val="24"/>
      <w:szCs w:val="24"/>
    </w:rPr>
  </w:style>
  <w:style w:type="character" w:styleId="894" w:customStyle="1">
    <w:name w:val="标题 7 Char"/>
    <w:link w:val="881"/>
    <w:uiPriority w:val="0"/>
    <w:qFormat/>
    <w:rPr>
      <w:rFonts w:ascii="Times New Roman" w:hAnsi="Times New Roman" w:eastAsia="宋体" w:cs="Times New Roman"/>
      <w:b/>
      <w:bCs/>
      <w:sz w:val="24"/>
      <w:szCs w:val="24"/>
    </w:rPr>
  </w:style>
  <w:style w:type="character" w:styleId="895" w:customStyle="1">
    <w:name w:val="标题 8 Char"/>
    <w:link w:val="882"/>
    <w:uiPriority w:val="0"/>
    <w:qFormat/>
    <w:rPr>
      <w:rFonts w:ascii="Arial" w:hAnsi="Arial" w:eastAsia="黑体" w:cs="Times New Roman"/>
      <w:sz w:val="24"/>
      <w:szCs w:val="24"/>
    </w:rPr>
  </w:style>
  <w:style w:type="character" w:styleId="896" w:customStyle="1">
    <w:name w:val="标题 9 Char"/>
    <w:link w:val="883"/>
    <w:uiPriority w:val="0"/>
    <w:qFormat/>
    <w:rPr>
      <w:rFonts w:ascii="Arial" w:hAnsi="Arial" w:eastAsia="黑体" w:cs="Times New Roman"/>
      <w:szCs w:val="21"/>
    </w:rPr>
  </w:style>
  <w:style w:type="paragraph" w:styleId="897" w:customStyle="1">
    <w:name w:val="列表 31"/>
    <w:basedOn w:val="688"/>
    <w:uiPriority w:val="0"/>
    <w:qFormat/>
    <w:pPr>
      <w:ind w:left="100" w:hanging="200"/>
    </w:pPr>
    <w:rPr>
      <w:rFonts w:ascii="Times New Roman" w:hAnsi="Times New Roman" w:eastAsia="宋体" w:cs="Times New Roman"/>
      <w:szCs w:val="21"/>
    </w:rPr>
  </w:style>
  <w:style w:type="paragraph" w:styleId="898"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899" w:customStyle="1">
    <w:name w:val="文档结构图1"/>
    <w:basedOn w:val="688"/>
    <w:link w:val="900"/>
    <w:uiPriority w:val="0"/>
    <w:semiHidden/>
    <w:qFormat/>
    <w:pPr>
      <w:shd w:val="clear" w:color="auto" w:fill="000080"/>
    </w:pPr>
    <w:rPr>
      <w:rFonts w:ascii="Times New Roman" w:hAnsi="Times New Roman" w:eastAsia="宋体" w:cs="Times New Roman"/>
      <w:szCs w:val="21"/>
    </w:rPr>
  </w:style>
  <w:style w:type="character" w:styleId="900" w:customStyle="1">
    <w:name w:val="文档结构图 Char"/>
    <w:link w:val="899"/>
    <w:uiPriority w:val="0"/>
    <w:semiHidden/>
    <w:qFormat/>
    <w:rPr>
      <w:rFonts w:ascii="Times New Roman" w:hAnsi="Times New Roman" w:eastAsia="宋体" w:cs="Times New Roman"/>
      <w:szCs w:val="21"/>
      <w:shd w:val="clear" w:color="auto" w:fill="000080"/>
    </w:rPr>
  </w:style>
  <w:style w:type="paragraph" w:styleId="901" w:customStyle="1">
    <w:name w:val="批注文字1"/>
    <w:basedOn w:val="688"/>
    <w:link w:val="952"/>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customStyle="1">
    <w:name w:val="批注文字 Char"/>
    <w:basedOn w:val="884"/>
    <w:link w:val="901"/>
    <w:uiPriority w:val="99"/>
    <w:semiHidden/>
    <w:qFormat/>
  </w:style>
  <w:style w:type="paragraph" w:styleId="903" w:customStyle="1">
    <w:name w:val="正文文本 31"/>
    <w:basedOn w:val="688"/>
    <w:link w:val="904"/>
    <w:uiPriority w:val="0"/>
    <w:qFormat/>
    <w:rPr>
      <w:rFonts w:ascii="仿宋_GB2312" w:hAnsi="Arial" w:eastAsia="仿宋_GB2312" w:cs="Times New Roman"/>
      <w:sz w:val="32"/>
      <w:szCs w:val="32"/>
    </w:rPr>
  </w:style>
  <w:style w:type="character" w:styleId="904" w:customStyle="1">
    <w:name w:val="正文文本 3 Char"/>
    <w:link w:val="903"/>
    <w:uiPriority w:val="0"/>
    <w:qFormat/>
    <w:rPr>
      <w:rFonts w:ascii="仿宋_GB2312" w:hAnsi="Arial" w:eastAsia="仿宋_GB2312" w:cs="Times New Roman"/>
      <w:sz w:val="32"/>
      <w:szCs w:val="32"/>
    </w:rPr>
  </w:style>
  <w:style w:type="paragraph" w:styleId="905" w:customStyle="1">
    <w:name w:val="正文文本11"/>
    <w:basedOn w:val="688"/>
    <w:link w:val="906"/>
    <w:uiPriority w:val="0"/>
    <w:qFormat/>
    <w:rPr>
      <w:rFonts w:ascii="楷体_GB2312" w:hAnsi="Arial" w:eastAsia="楷体_GB2312" w:cs="Times New Roman"/>
      <w:sz w:val="28"/>
      <w:szCs w:val="28"/>
    </w:rPr>
  </w:style>
  <w:style w:type="character" w:styleId="906" w:customStyle="1">
    <w:name w:val="正文文本 Char"/>
    <w:link w:val="905"/>
    <w:uiPriority w:val="0"/>
    <w:qFormat/>
    <w:rPr>
      <w:rFonts w:ascii="楷体_GB2312" w:hAnsi="Arial" w:eastAsia="楷体_GB2312" w:cs="Times New Roman"/>
      <w:sz w:val="28"/>
      <w:szCs w:val="28"/>
    </w:rPr>
  </w:style>
  <w:style w:type="paragraph" w:styleId="907" w:customStyle="1">
    <w:name w:val="正文文本缩进111"/>
    <w:basedOn w:val="688"/>
    <w:next w:val="908"/>
    <w:link w:val="909"/>
    <w:uiPriority w:val="0"/>
    <w:unhideWhenUsed/>
    <w:qFormat/>
    <w:pPr>
      <w:ind w:left="420"/>
      <w:spacing w:after="120"/>
    </w:pPr>
  </w:style>
  <w:style w:type="paragraph" w:styleId="908" w:customStyle="1">
    <w:name w:val="寄信人地址11"/>
    <w:basedOn w:val="688"/>
    <w:uiPriority w:val="0"/>
    <w:qFormat/>
    <w:rPr>
      <w:rFonts w:ascii="Arial" w:hAnsi="Arial" w:eastAsia="宋体" w:cs="宋体"/>
    </w:rPr>
  </w:style>
  <w:style w:type="character" w:styleId="909" w:customStyle="1">
    <w:name w:val="正文文本缩进 Char"/>
    <w:basedOn w:val="884"/>
    <w:link w:val="907"/>
    <w:uiPriority w:val="99"/>
    <w:semiHidden/>
    <w:qFormat/>
  </w:style>
  <w:style w:type="paragraph" w:styleId="910" w:customStyle="1">
    <w:name w:val="列表 21"/>
    <w:basedOn w:val="688"/>
    <w:uiPriority w:val="0"/>
    <w:qFormat/>
    <w:pPr>
      <w:ind w:left="100" w:hanging="200"/>
    </w:pPr>
    <w:rPr>
      <w:rFonts w:ascii="Times New Roman" w:hAnsi="Times New Roman" w:eastAsia="宋体" w:cs="Times New Roman"/>
      <w:szCs w:val="21"/>
    </w:rPr>
  </w:style>
  <w:style w:type="paragraph" w:styleId="911"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12" w:customStyle="1">
    <w:name w:val="目录 31"/>
    <w:basedOn w:val="688"/>
    <w:next w:val="688"/>
    <w:uiPriority w:val="0"/>
    <w:semiHidden/>
    <w:qFormat/>
    <w:pPr>
      <w:ind w:left="420"/>
      <w:jc w:val="left"/>
    </w:pPr>
    <w:rPr>
      <w:rFonts w:ascii="Times New Roman" w:hAnsi="Times New Roman" w:eastAsia="宋体" w:cs="Times New Roman"/>
      <w:i/>
      <w:iCs/>
      <w:szCs w:val="24"/>
    </w:rPr>
  </w:style>
  <w:style w:type="paragraph" w:styleId="913" w:customStyle="1">
    <w:name w:val="纯文本1"/>
    <w:basedOn w:val="688"/>
    <w:link w:val="914"/>
    <w:uiPriority w:val="0"/>
    <w:qFormat/>
    <w:rPr>
      <w:rFonts w:ascii="宋体" w:hAnsi="Courier New" w:eastAsia="宋体" w:cs="Courier New"/>
      <w:szCs w:val="21"/>
    </w:rPr>
  </w:style>
  <w:style w:type="character" w:styleId="914" w:customStyle="1">
    <w:name w:val="纯文本 Char"/>
    <w:link w:val="913"/>
    <w:uiPriority w:val="0"/>
    <w:qFormat/>
    <w:rPr>
      <w:rFonts w:ascii="宋体" w:hAnsi="Courier New" w:eastAsia="宋体" w:cs="Courier New"/>
      <w:szCs w:val="21"/>
    </w:rPr>
  </w:style>
  <w:style w:type="paragraph" w:styleId="915"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16" w:customStyle="1">
    <w:name w:val="日期1"/>
    <w:basedOn w:val="688"/>
    <w:next w:val="688"/>
    <w:link w:val="917"/>
    <w:uiPriority w:val="0"/>
    <w:qFormat/>
    <w:rPr>
      <w:rFonts w:ascii="Times New Roman" w:hAnsi="Times New Roman" w:eastAsia="宋体" w:cs="Times New Roman"/>
      <w:sz w:val="24"/>
      <w:szCs w:val="24"/>
    </w:rPr>
  </w:style>
  <w:style w:type="character" w:styleId="917" w:customStyle="1">
    <w:name w:val="日期 Char"/>
    <w:link w:val="916"/>
    <w:uiPriority w:val="0"/>
    <w:qFormat/>
    <w:rPr>
      <w:rFonts w:ascii="Times New Roman" w:hAnsi="Times New Roman" w:eastAsia="宋体" w:cs="Times New Roman"/>
      <w:sz w:val="24"/>
      <w:szCs w:val="24"/>
    </w:rPr>
  </w:style>
  <w:style w:type="paragraph" w:styleId="918" w:customStyle="1">
    <w:name w:val="正文文本缩进 21"/>
    <w:basedOn w:val="688"/>
    <w:link w:val="919"/>
    <w:uiPriority w:val="0"/>
    <w:pPr>
      <w:ind w:left="630" w:firstLine="645"/>
    </w:pPr>
    <w:rPr>
      <w:rFonts w:ascii="Arial" w:hAnsi="Arial" w:eastAsia="仿宋_GB2312" w:cs="Arial"/>
      <w:sz w:val="32"/>
      <w:szCs w:val="32"/>
    </w:rPr>
  </w:style>
  <w:style w:type="character" w:styleId="919" w:customStyle="1">
    <w:name w:val="正文文本缩进 2 Char"/>
    <w:link w:val="918"/>
    <w:uiPriority w:val="0"/>
    <w:qFormat/>
    <w:rPr>
      <w:rFonts w:ascii="Arial" w:hAnsi="Arial" w:eastAsia="仿宋_GB2312" w:cs="Arial"/>
      <w:sz w:val="32"/>
      <w:szCs w:val="32"/>
    </w:rPr>
  </w:style>
  <w:style w:type="paragraph" w:styleId="920" w:customStyle="1">
    <w:name w:val="批注框文本1"/>
    <w:basedOn w:val="688"/>
    <w:link w:val="921"/>
    <w:uiPriority w:val="0"/>
    <w:semiHidden/>
    <w:qFormat/>
    <w:rPr>
      <w:rFonts w:ascii="Times New Roman" w:hAnsi="Times New Roman" w:eastAsia="宋体" w:cs="Times New Roman"/>
      <w:sz w:val="18"/>
      <w:szCs w:val="18"/>
    </w:rPr>
  </w:style>
  <w:style w:type="character" w:styleId="921" w:customStyle="1">
    <w:name w:val="批注框文本 Char"/>
    <w:link w:val="920"/>
    <w:uiPriority w:val="0"/>
    <w:semiHidden/>
    <w:rPr>
      <w:rFonts w:ascii="Times New Roman" w:hAnsi="Times New Roman" w:eastAsia="宋体" w:cs="Times New Roman"/>
      <w:sz w:val="18"/>
      <w:szCs w:val="18"/>
    </w:rPr>
  </w:style>
  <w:style w:type="paragraph" w:styleId="922" w:customStyle="1">
    <w:name w:val="页脚1"/>
    <w:basedOn w:val="688"/>
    <w:link w:val="923"/>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23" w:customStyle="1">
    <w:name w:val="页脚 Char"/>
    <w:link w:val="922"/>
    <w:uiPriority w:val="0"/>
    <w:rPr>
      <w:rFonts w:ascii="Times New Roman" w:hAnsi="Times New Roman" w:eastAsia="宋体" w:cs="Times New Roman"/>
      <w:sz w:val="18"/>
      <w:szCs w:val="18"/>
    </w:rPr>
  </w:style>
  <w:style w:type="paragraph" w:styleId="924" w:customStyle="1">
    <w:name w:val="页眉1"/>
    <w:basedOn w:val="688"/>
    <w:link w:val="92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customStyle="1">
    <w:name w:val="页眉 Char"/>
    <w:link w:val="924"/>
    <w:uiPriority w:val="0"/>
    <w:qFormat/>
    <w:rPr>
      <w:rFonts w:ascii="Times New Roman" w:hAnsi="Times New Roman" w:eastAsia="宋体" w:cs="Times New Roman"/>
      <w:sz w:val="18"/>
      <w:szCs w:val="18"/>
    </w:rPr>
  </w:style>
  <w:style w:type="paragraph" w:styleId="926"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7"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28" w:customStyle="1">
    <w:name w:val="列表1"/>
    <w:basedOn w:val="688"/>
    <w:uiPriority w:val="0"/>
    <w:qFormat/>
    <w:pPr>
      <w:ind w:left="200" w:hanging="200"/>
    </w:pPr>
    <w:rPr>
      <w:rFonts w:ascii="Times New Roman" w:hAnsi="Times New Roman" w:eastAsia="宋体" w:cs="Times New Roman"/>
      <w:szCs w:val="21"/>
    </w:rPr>
  </w:style>
  <w:style w:type="paragraph" w:styleId="929"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30" w:customStyle="1">
    <w:name w:val="正文文本缩进 31"/>
    <w:basedOn w:val="688"/>
    <w:link w:val="931"/>
    <w:uiPriority w:val="0"/>
    <w:qFormat/>
    <w:pPr>
      <w:ind w:left="645" w:firstLine="645"/>
    </w:pPr>
    <w:rPr>
      <w:rFonts w:ascii="Arial" w:hAnsi="Arial" w:eastAsia="仿宋_GB2312" w:cs="Arial"/>
      <w:color w:val="ffff00"/>
      <w:sz w:val="32"/>
      <w:szCs w:val="32"/>
    </w:rPr>
  </w:style>
  <w:style w:type="character" w:styleId="931" w:customStyle="1">
    <w:name w:val="正文文本缩进 3 Char"/>
    <w:link w:val="930"/>
    <w:uiPriority w:val="0"/>
    <w:rPr>
      <w:rFonts w:ascii="Arial" w:hAnsi="Arial" w:eastAsia="仿宋_GB2312" w:cs="Arial"/>
      <w:color w:val="ffff00"/>
      <w:sz w:val="32"/>
      <w:szCs w:val="32"/>
    </w:rPr>
  </w:style>
  <w:style w:type="paragraph" w:styleId="932"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33"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34"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35" w:customStyle="1">
    <w:name w:val="正文文本 21"/>
    <w:basedOn w:val="688"/>
    <w:link w:val="936"/>
    <w:uiPriority w:val="0"/>
    <w:qFormat/>
    <w:pPr>
      <w:jc w:val="center"/>
      <w:widowControl/>
    </w:pPr>
    <w:rPr>
      <w:rFonts w:ascii="楷体_GB2312" w:hAnsi="Times New Roman" w:eastAsia="楷体_GB2312" w:cs="Times New Roman"/>
      <w:sz w:val="28"/>
      <w:szCs w:val="28"/>
    </w:rPr>
  </w:style>
  <w:style w:type="character" w:styleId="936" w:customStyle="1">
    <w:name w:val="正文文本 2 Char"/>
    <w:link w:val="935"/>
    <w:uiPriority w:val="0"/>
    <w:rPr>
      <w:rFonts w:ascii="楷体_GB2312" w:hAnsi="Times New Roman" w:eastAsia="楷体_GB2312" w:cs="Times New Roman"/>
      <w:sz w:val="28"/>
      <w:szCs w:val="28"/>
    </w:rPr>
  </w:style>
  <w:style w:type="paragraph" w:styleId="937" w:customStyle="1">
    <w:name w:val="普通(网站)1"/>
    <w:basedOn w:val="688"/>
    <w:uiPriority w:val="99"/>
    <w:pPr>
      <w:jc w:val="left"/>
      <w:spacing w:before="100" w:beforeAutospacing="1" w:after="100" w:afterAutospacing="1"/>
      <w:widowControl/>
    </w:pPr>
    <w:rPr>
      <w:rFonts w:ascii="宋体" w:hAnsi="宋体" w:eastAsia="宋体" w:cs="宋体"/>
      <w:sz w:val="24"/>
      <w:szCs w:val="24"/>
    </w:rPr>
  </w:style>
  <w:style w:type="paragraph" w:styleId="938" w:customStyle="1">
    <w:name w:val="索引 11"/>
    <w:basedOn w:val="688"/>
    <w:next w:val="688"/>
    <w:uiPriority w:val="0"/>
    <w:semiHidden/>
    <w:pPr>
      <w:spacing w:line="240" w:lineRule="atLeast"/>
    </w:pPr>
    <w:rPr>
      <w:rFonts w:ascii="Times New Roman" w:hAnsi="Times New Roman" w:eastAsia="宋体" w:cs="Times New Roman"/>
      <w:b/>
      <w:bCs/>
      <w:szCs w:val="21"/>
    </w:rPr>
  </w:style>
  <w:style w:type="paragraph" w:styleId="939" w:customStyle="1">
    <w:name w:val="批注主题1"/>
    <w:basedOn w:val="901"/>
    <w:next w:val="901"/>
    <w:link w:val="940"/>
    <w:uiPriority w:val="0"/>
    <w:semiHidden/>
    <w:qFormat/>
    <w:rPr>
      <w:rFonts w:ascii="Times New Roman" w:hAnsi="Times New Roman" w:eastAsia="宋体" w:cs="Times New Roman"/>
      <w:b/>
      <w:bCs/>
      <w:szCs w:val="21"/>
    </w:rPr>
  </w:style>
  <w:style w:type="character" w:styleId="940" w:customStyle="1">
    <w:name w:val="批注主题 Char"/>
    <w:link w:val="939"/>
    <w:uiPriority w:val="0"/>
    <w:semiHidden/>
    <w:qFormat/>
    <w:rPr>
      <w:rFonts w:ascii="Times New Roman" w:hAnsi="Times New Roman" w:eastAsia="宋体" w:cs="Times New Roman"/>
      <w:b/>
      <w:bCs/>
      <w:szCs w:val="21"/>
    </w:rPr>
  </w:style>
  <w:style w:type="paragraph" w:styleId="941" w:customStyle="1">
    <w:name w:val="正文首行缩进1"/>
    <w:basedOn w:val="688"/>
    <w:link w:val="942"/>
    <w:uiPriority w:val="0"/>
    <w:pPr>
      <w:ind w:firstLine="200"/>
      <w:spacing w:line="360" w:lineRule="auto"/>
    </w:pPr>
    <w:rPr>
      <w:rFonts w:ascii="仿宋_GB2312" w:hAnsi="Times New Roman" w:eastAsia="仿宋_GB2312" w:cs="Times New Roman"/>
      <w:sz w:val="30"/>
      <w:szCs w:val="30"/>
    </w:rPr>
  </w:style>
  <w:style w:type="character" w:styleId="942" w:customStyle="1">
    <w:name w:val="正文首行缩进 Char"/>
    <w:link w:val="941"/>
    <w:uiPriority w:val="0"/>
    <w:qFormat/>
    <w:rPr>
      <w:rFonts w:ascii="仿宋_GB2312" w:hAnsi="Times New Roman" w:eastAsia="仿宋_GB2312" w:cs="Times New Roman"/>
      <w:sz w:val="30"/>
      <w:szCs w:val="30"/>
    </w:rPr>
  </w:style>
  <w:style w:type="paragraph" w:styleId="943" w:customStyle="1">
    <w:name w:val="正文首行缩进 21"/>
    <w:basedOn w:val="907"/>
    <w:next w:val="688"/>
    <w:link w:val="944"/>
    <w:uiPriority w:val="0"/>
    <w:pPr>
      <w:ind w:left="0" w:firstLine="420"/>
      <w:spacing w:after="0" w:line="360" w:lineRule="auto"/>
    </w:pPr>
    <w:rPr>
      <w:rFonts w:ascii="宋体" w:hAnsi="宋体" w:eastAsia="宋体" w:cs="Times New Roman"/>
      <w:szCs w:val="20"/>
    </w:rPr>
  </w:style>
  <w:style w:type="character" w:styleId="944" w:customStyle="1">
    <w:name w:val="正文首行缩进 2 Char"/>
    <w:link w:val="943"/>
    <w:uiPriority w:val="0"/>
    <w:qFormat/>
    <w:rPr>
      <w:rFonts w:ascii="宋体" w:hAnsi="宋体" w:eastAsia="宋体" w:cs="Times New Roman"/>
      <w:szCs w:val="20"/>
    </w:rPr>
  </w:style>
  <w:style w:type="table" w:styleId="945" w:customStyle="1">
    <w:name w:val="网格型11"/>
    <w:basedOn w:val="885"/>
    <w:uiPriority w:val="0"/>
    <w:qFormat/>
    <w:pPr>
      <w:jc w:val="both"/>
      <w:widowControl w:val="off"/>
    </w:pPr>
    <w:rPr>
      <w:rFonts w:ascii="Times New Roman" w:hAnsi="Times New Roman" w:eastAsia="宋体" w:cs="Times New Roman"/>
      <w:sz w:val="20"/>
      <w:szCs w:val="20"/>
    </w:rPr>
    <w:tblPr/>
  </w:style>
  <w:style w:type="character" w:styleId="946" w:customStyle="1">
    <w:name w:val="要点1"/>
    <w:link w:val="688"/>
    <w:uiPriority w:val="0"/>
    <w:qFormat/>
    <w:rPr>
      <w:b/>
      <w:bCs/>
    </w:rPr>
  </w:style>
  <w:style w:type="character" w:styleId="947" w:customStyle="1">
    <w:name w:val="页码1"/>
    <w:link w:val="688"/>
    <w:uiPriority w:val="0"/>
    <w:qFormat/>
  </w:style>
  <w:style w:type="character" w:styleId="948" w:customStyle="1">
    <w:name w:val="已访问的超链接1"/>
    <w:link w:val="688"/>
    <w:uiPriority w:val="0"/>
    <w:qFormat/>
    <w:rPr>
      <w:color w:val="800080"/>
      <w:u w:val="single"/>
    </w:rPr>
  </w:style>
  <w:style w:type="character" w:styleId="949" w:customStyle="1">
    <w:name w:val="强调1"/>
    <w:link w:val="688"/>
    <w:uiPriority w:val="0"/>
    <w:qFormat/>
    <w:rPr>
      <w:i/>
    </w:rPr>
  </w:style>
  <w:style w:type="character" w:styleId="950" w:customStyle="1">
    <w:name w:val="超链接1"/>
    <w:link w:val="688"/>
    <w:uiPriority w:val="0"/>
    <w:rPr>
      <w:color w:val="0000ff"/>
      <w:u w:val="single"/>
    </w:rPr>
  </w:style>
  <w:style w:type="character" w:styleId="951" w:customStyle="1">
    <w:name w:val="批注引用1"/>
    <w:link w:val="688"/>
    <w:uiPriority w:val="0"/>
    <w:semiHidden/>
    <w:rPr>
      <w:sz w:val="21"/>
      <w:szCs w:val="21"/>
    </w:rPr>
  </w:style>
  <w:style w:type="character" w:styleId="952" w:customStyle="1">
    <w:name w:val="批注文字 字符"/>
    <w:basedOn w:val="884"/>
    <w:link w:val="901"/>
    <w:uiPriority w:val="0"/>
    <w:qFormat/>
    <w:rPr>
      <w:rFonts w:ascii="Calibri" w:hAnsi="Calibri" w:eastAsia="宋体" w:cs="Times New Roman"/>
      <w:sz w:val="21"/>
      <w:szCs w:val="24"/>
    </w:rPr>
  </w:style>
  <w:style w:type="character" w:styleId="953" w:customStyle="1">
    <w:name w:val="font5 Char"/>
    <w:link w:val="688"/>
    <w:uiPriority w:val="0"/>
    <w:qFormat/>
    <w:rPr>
      <w:rFonts w:ascii="宋体" w:hAnsi="宋体" w:eastAsia="宋体"/>
      <w:sz w:val="28"/>
      <w:szCs w:val="28"/>
      <w:lang w:val="en-US" w:eastAsia="zh-CN" w:bidi="ar-SA"/>
    </w:rPr>
  </w:style>
  <w:style w:type="character" w:styleId="954" w:customStyle="1">
    <w:name w:val="二级目录 Char"/>
    <w:link w:val="955"/>
    <w:uiPriority w:val="0"/>
    <w:qFormat/>
    <w:rPr>
      <w:b/>
      <w:sz w:val="30"/>
      <w:szCs w:val="28"/>
    </w:rPr>
  </w:style>
  <w:style w:type="paragraph" w:styleId="955" w:customStyle="1">
    <w:name w:val="二级目录"/>
    <w:next w:val="688"/>
    <w:link w:val="95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6" w:customStyle="1">
    <w:name w:val="列出段落 Char"/>
    <w:link w:val="957"/>
    <w:uiPriority w:val="0"/>
    <w:rPr>
      <w:rFonts w:ascii="Calibri" w:hAnsi="Calibri"/>
      <w:sz w:val="24"/>
      <w:szCs w:val="24"/>
      <w:lang w:eastAsia="en-US" w:bidi="en-US"/>
    </w:rPr>
  </w:style>
  <w:style w:type="paragraph" w:styleId="957" w:customStyle="1">
    <w:name w:val="列出段落1"/>
    <w:basedOn w:val="688"/>
    <w:link w:val="956"/>
    <w:uiPriority w:val="0"/>
    <w:qFormat/>
    <w:pPr>
      <w:contextualSpacing/>
      <w:ind w:left="720"/>
      <w:jc w:val="left"/>
      <w:widowControl/>
    </w:pPr>
    <w:rPr>
      <w:rFonts w:ascii="Calibri" w:hAnsi="Calibri"/>
      <w:sz w:val="24"/>
      <w:szCs w:val="24"/>
      <w:lang w:eastAsia="en-US" w:bidi="en-US"/>
    </w:rPr>
  </w:style>
  <w:style w:type="paragraph" w:styleId="958" w:customStyle="1">
    <w:name w:val="Body Text(ch)"/>
    <w:basedOn w:val="688"/>
    <w:next w:val="905"/>
    <w:uiPriority w:val="0"/>
    <w:qFormat/>
    <w:pPr>
      <w:spacing w:after="120"/>
    </w:pPr>
    <w:rPr>
      <w:rFonts w:ascii="宋体" w:hAnsi="Arial" w:eastAsia="宋体" w:cs="Times New Roman"/>
      <w:bCs/>
      <w:iCs/>
      <w:szCs w:val="24"/>
    </w:rPr>
  </w:style>
  <w:style w:type="paragraph" w:styleId="959" w:customStyle="1">
    <w:name w:val="xl27"/>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62" w:customStyle="1">
    <w:name w:val=" Char"/>
    <w:basedOn w:val="899"/>
    <w:uiPriority w:val="0"/>
    <w:qFormat/>
    <w:rPr>
      <w:rFonts w:ascii="Tahoma" w:hAnsi="Tahoma"/>
      <w:sz w:val="24"/>
      <w:szCs w:val="24"/>
    </w:rPr>
  </w:style>
  <w:style w:type="paragraph" w:styleId="963" w:customStyle="1">
    <w:name w:val="普通正文"/>
    <w:basedOn w:val="688"/>
    <w:uiPriority w:val="0"/>
    <w:qFormat/>
    <w:pPr>
      <w:ind w:firstLine="480"/>
      <w:jc w:val="left"/>
      <w:spacing w:before="120" w:after="120" w:line="360" w:lineRule="auto"/>
    </w:pPr>
    <w:rPr>
      <w:rFonts w:ascii="Arial" w:hAnsi="Arial" w:eastAsia="宋体" w:cs="Times New Roman"/>
      <w:sz w:val="24"/>
      <w:szCs w:val="24"/>
    </w:rPr>
  </w:style>
  <w:style w:type="paragraph" w:styleId="964"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6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6" w:customStyle="1">
    <w:name w:val="font7"/>
    <w:basedOn w:val="688"/>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67" w:customStyle="1">
    <w:name w:val=" Char Char Char Char"/>
    <w:basedOn w:val="899"/>
    <w:uiPriority w:val="0"/>
    <w:qFormat/>
    <w:pPr>
      <w:spacing w:line="360" w:lineRule="auto"/>
    </w:pPr>
    <w:rPr>
      <w:rFonts w:ascii="Tahoma" w:hAnsi="Tahoma"/>
      <w:sz w:val="24"/>
      <w:szCs w:val="24"/>
    </w:rPr>
  </w:style>
  <w:style w:type="paragraph" w:styleId="968"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paragraph" w:styleId="969" w:customStyle="1">
    <w:name w:val="4"/>
    <w:basedOn w:val="688"/>
    <w:next w:val="930"/>
    <w:uiPriority w:val="0"/>
    <w:qFormat/>
    <w:pPr>
      <w:ind w:firstLine="420"/>
      <w:spacing w:line="360" w:lineRule="auto"/>
    </w:pPr>
    <w:rPr>
      <w:rFonts w:ascii="Times New Roman" w:hAnsi="Times New Roman" w:eastAsia="宋体" w:cs="Times New Roman"/>
      <w:color w:val="ff0000"/>
      <w:sz w:val="24"/>
      <w:szCs w:val="24"/>
    </w:rPr>
  </w:style>
  <w:style w:type="paragraph" w:styleId="970" w:customStyle="1">
    <w:name w:val="普通 (Web)"/>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971"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72" w:customStyle="1">
    <w:name w:val="样式1"/>
    <w:basedOn w:val="688"/>
    <w:uiPriority w:val="0"/>
    <w:qFormat/>
    <w:pPr>
      <w:numPr>
        <w:ilvl w:val="0"/>
        <w:numId w:val="3"/>
      </w:numPr>
    </w:pPr>
    <w:rPr>
      <w:rFonts w:ascii="宋体" w:hAnsi="宋体" w:eastAsia="宋体" w:cs="Times New Roman"/>
      <w:szCs w:val="21"/>
    </w:rPr>
  </w:style>
  <w:style w:type="paragraph" w:styleId="973"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customStyle="1">
    <w:name w:val="标题3"/>
    <w:basedOn w:val="688"/>
    <w:next w:val="688"/>
    <w:uiPriority w:val="0"/>
    <w:qFormat/>
    <w:pPr>
      <w:ind w:firstLine="624"/>
      <w:spacing w:line="590" w:lineRule="atLeast"/>
    </w:pPr>
    <w:rPr>
      <w:rFonts w:ascii="方正黑体_GBK" w:hAnsi="Times New Roman" w:eastAsia="方正黑体_GBK" w:cs="Times New Roman"/>
      <w:sz w:val="32"/>
      <w:szCs w:val="32"/>
    </w:rPr>
  </w:style>
  <w:style w:type="paragraph" w:styleId="977"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0"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2" w:customStyle="1">
    <w:name w:val="xl30"/>
    <w:basedOn w:val="6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3" w:customStyle="1">
    <w:name w:val="Char Char Char Char"/>
    <w:basedOn w:val="899"/>
    <w:uiPriority w:val="0"/>
    <w:qFormat/>
    <w:pPr>
      <w:spacing w:line="360" w:lineRule="auto"/>
    </w:pPr>
    <w:rPr>
      <w:rFonts w:ascii="Tahoma" w:hAnsi="Tahoma"/>
      <w:sz w:val="24"/>
      <w:szCs w:val="24"/>
    </w:rPr>
  </w:style>
  <w:style w:type="paragraph" w:styleId="984" w:customStyle="1">
    <w:name w:val="table_1stline"/>
    <w:basedOn w:val="688"/>
    <w:uiPriority w:val="0"/>
    <w:qFormat/>
    <w:pPr>
      <w:jc w:val="left"/>
      <w:spacing w:before="120"/>
      <w:widowControl/>
    </w:pPr>
    <w:rPr>
      <w:rFonts w:ascii="Times New Roman" w:hAnsi="Times New Roman" w:eastAsia="宋体" w:cs="Times New Roman"/>
      <w:bCs/>
      <w:sz w:val="20"/>
      <w:szCs w:val="20"/>
      <w:lang w:val="de-DE" w:eastAsia="de-DE"/>
    </w:rPr>
  </w:style>
  <w:style w:type="paragraph" w:styleId="985" w:customStyle="1">
    <w:name w:val="font5"/>
    <w:basedOn w:val="6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6"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9" w:customStyle="1">
    <w:name w:val="Table Normal"/>
    <w:uiPriority w:val="0"/>
    <w:qFormat/>
    <w:tblPr/>
  </w:style>
  <w:style w:type="paragraph" w:styleId="990" w:customStyle="1">
    <w:name w:val="正文文本12"/>
    <w:basedOn w:val="688"/>
    <w:uiPriority w:val="1"/>
    <w:qFormat/>
    <w:pPr>
      <w:ind w:left="120"/>
    </w:pPr>
    <w:rPr>
      <w:rFonts w:ascii="宋体" w:hAnsi="宋体" w:eastAsia="宋体" w:cs="宋体"/>
      <w:sz w:val="21"/>
      <w:szCs w:val="21"/>
      <w:lang w:val="zh-CN" w:eastAsia="zh-CN" w:bidi="zh-CN"/>
    </w:rPr>
  </w:style>
  <w:style w:type="paragraph" w:styleId="991" w:customStyle="1">
    <w:name w:val="正文文本 211"/>
    <w:basedOn w:val="688"/>
    <w:uiPriority w:val="99"/>
    <w:qFormat/>
    <w:pPr>
      <w:jc w:val="center"/>
    </w:pPr>
    <w:rPr>
      <w:b/>
      <w:bCs/>
      <w:sz w:val="20"/>
      <w:szCs w:val="20"/>
    </w:rPr>
  </w:style>
  <w:style w:type="paragraph" w:styleId="992" w:customStyle="1">
    <w:name w:val="正文文本1"/>
    <w:basedOn w:val="688"/>
    <w:next w:val="688"/>
    <w:uiPriority w:val="0"/>
    <w:semiHidden/>
    <w:qFormat/>
    <w:rPr>
      <w:rFonts w:ascii="Arial" w:hAnsi="Arial" w:eastAsia="Arial" w:cs="Arial"/>
      <w:sz w:val="21"/>
      <w:szCs w:val="21"/>
      <w:lang w:val="en-US" w:eastAsia="en-US" w:bidi="ar-SA"/>
    </w:rPr>
  </w:style>
  <w:style w:type="paragraph" w:styleId="993" w:customStyle="1">
    <w:name w:val="Table Paragraph"/>
    <w:basedOn w:val="688"/>
    <w:uiPriority w:val="1"/>
    <w:qFormat/>
    <w:pPr>
      <w:jc w:val="left"/>
    </w:pPr>
    <w:rPr>
      <w:rFonts w:ascii="宋体" w:hAnsi="宋体" w:eastAsia="宋体" w:cs="宋体"/>
      <w:sz w:val="22"/>
      <w:szCs w:val="22"/>
      <w:lang w:val="zh-CN" w:bidi="zh-CN"/>
    </w:rPr>
  </w:style>
  <w:style w:type="table" w:styleId="994" w:customStyle="1">
    <w:name w:val="网格型1"/>
    <w:basedOn w:val="995"/>
    <w:uiPriority w:val="0"/>
    <w:qFormat/>
    <w:pPr>
      <w:jc w:val="both"/>
      <w:widowControl w:val="off"/>
    </w:pPr>
    <w:tblPr/>
  </w:style>
  <w:style w:type="table" w:styleId="995" w:customStyle="1">
    <w:name w:val="普通表格1"/>
    <w:uiPriority w:val="99"/>
    <w:unhideWhenUsed/>
    <w:qFormat/>
    <w:tblPr/>
  </w:style>
  <w:style w:type="paragraph" w:styleId="996" w:customStyle="1">
    <w:name w:val="正文文本缩进1"/>
    <w:basedOn w:val="688"/>
    <w:next w:val="997"/>
    <w:uiPriority w:val="0"/>
    <w:unhideWhenUsed/>
    <w:qFormat/>
    <w:pPr>
      <w:ind w:left="420"/>
      <w:spacing w:after="120"/>
    </w:pPr>
  </w:style>
  <w:style w:type="paragraph" w:styleId="997" w:customStyle="1">
    <w:name w:val="正文文本首行缩进 2"/>
    <w:basedOn w:val="996"/>
    <w:uiPriority w:val="0"/>
    <w:qFormat/>
    <w:pPr>
      <w:ind w:left="0" w:firstLine="420"/>
      <w:spacing w:after="0" w:line="360" w:lineRule="auto"/>
    </w:pPr>
    <w:rPr>
      <w:rFonts w:ascii="宋体" w:hAnsi="宋体"/>
      <w:sz w:val="20"/>
      <w:szCs w:val="20"/>
      <w:lang w:val="en-US" w:eastAsia="en-US"/>
    </w:rPr>
  </w:style>
  <w:style w:type="table" w:styleId="998" w:customStyle="1">
    <w:name w:val="Table Normal_0"/>
    <w:uiPriority w:val="0"/>
    <w:qFormat/>
    <w:tblPr/>
  </w:style>
  <w:style w:type="paragraph" w:styleId="999" w:customStyle="1">
    <w:name w:val="正文首行缩进 211"/>
    <w:basedOn w:val="1000"/>
    <w:next w:val="688"/>
    <w:uiPriority w:val="0"/>
    <w:qFormat/>
    <w:pPr>
      <w:ind w:left="0" w:firstLine="420"/>
      <w:spacing w:after="0" w:line="360" w:lineRule="auto"/>
    </w:pPr>
    <w:rPr>
      <w:rFonts w:ascii="宋体" w:hAnsi="宋体" w:eastAsia="宋体" w:cs="Times New Roman"/>
      <w:szCs w:val="20"/>
    </w:rPr>
  </w:style>
  <w:style w:type="paragraph" w:styleId="1000" w:customStyle="1">
    <w:name w:val="正文文本缩进11"/>
    <w:basedOn w:val="688"/>
    <w:next w:val="1001"/>
    <w:uiPriority w:val="0"/>
    <w:unhideWhenUsed/>
    <w:qFormat/>
    <w:pPr>
      <w:ind w:left="420"/>
      <w:spacing w:after="120"/>
    </w:pPr>
  </w:style>
  <w:style w:type="paragraph" w:styleId="1001" w:customStyle="1">
    <w:name w:val="寄信人地址1"/>
    <w:basedOn w:val="688"/>
    <w:uiPriority w:val="0"/>
    <w:qFormat/>
    <w:rPr>
      <w:rFonts w:ascii="Arial" w:hAnsi="Arial" w:eastAsia="宋体" w:cs="宋体"/>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5</cp:revision>
  <dcterms:created xsi:type="dcterms:W3CDTF">2023-03-16T02:13:00Z</dcterms:created>
  <dcterms:modified xsi:type="dcterms:W3CDTF">2026-07-17T06:38:26Z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E8F3456FAD4049369A38FDE5DACD0E74</vt:lpwstr>
  </property>
</Properties>
</file>